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BC1" w:rsidRPr="00190BC1" w:rsidRDefault="00190BC1" w:rsidP="00CA30EA">
      <w:pPr>
        <w:pStyle w:val="text"/>
        <w:jc w:val="center"/>
        <w:rPr>
          <w:rFonts w:ascii="Calibri" w:hAnsi="Calibri"/>
          <w:b/>
          <w:sz w:val="28"/>
          <w:lang w:val="it-IT"/>
        </w:rPr>
      </w:pPr>
      <w:r w:rsidRPr="00190BC1">
        <w:rPr>
          <w:rFonts w:ascii="Calibri" w:hAnsi="Calibri" w:cs="Calibri"/>
          <w:color w:val="000000"/>
          <w:lang w:val="it-IT"/>
        </w:rPr>
        <w:t xml:space="preserve">25 maggio 2017 </w:t>
      </w:r>
      <w:r w:rsidRPr="00190BC1">
        <w:rPr>
          <w:rFonts w:ascii="Calibri" w:hAnsi="Calibri" w:cs="Calibri"/>
          <w:i/>
          <w:iCs/>
          <w:color w:val="000000"/>
          <w:lang w:val="it-IT"/>
        </w:rPr>
        <w:t>"Cooperative: insieme per il futuro</w:t>
      </w:r>
      <w:r w:rsidR="00C507EE">
        <w:rPr>
          <w:rFonts w:ascii="Calibri" w:hAnsi="Calibri" w:cs="Calibri"/>
          <w:i/>
          <w:iCs/>
          <w:color w:val="000000"/>
          <w:lang w:val="it-IT"/>
        </w:rPr>
        <w:t>”</w:t>
      </w:r>
    </w:p>
    <w:p w:rsidR="00190BC1" w:rsidRPr="003816CE" w:rsidRDefault="00190BC1" w:rsidP="00190BC1">
      <w:pPr>
        <w:pStyle w:val="text"/>
        <w:ind w:left="0"/>
        <w:jc w:val="center"/>
        <w:rPr>
          <w:rFonts w:ascii="Calibri" w:hAnsi="Calibri"/>
          <w:b/>
          <w:sz w:val="28"/>
          <w:lang w:val="it-IT"/>
        </w:rPr>
      </w:pPr>
      <w:r w:rsidRPr="003816CE">
        <w:rPr>
          <w:rFonts w:ascii="Calibri" w:hAnsi="Calibri"/>
          <w:b/>
          <w:sz w:val="28"/>
          <w:lang w:val="it-IT"/>
        </w:rPr>
        <w:t>Il contributo delle cooperative ad uno sviluppo regionale sostenibile</w:t>
      </w:r>
    </w:p>
    <w:p w:rsidR="00190BC1" w:rsidRPr="00190BC1" w:rsidRDefault="00190BC1" w:rsidP="00190BC1">
      <w:pPr>
        <w:pStyle w:val="text"/>
        <w:ind w:left="0"/>
        <w:jc w:val="center"/>
        <w:rPr>
          <w:rFonts w:ascii="Calibri" w:hAnsi="Calibri"/>
          <w:b/>
          <w:lang w:val="it-IT"/>
        </w:rPr>
      </w:pPr>
      <w:r w:rsidRPr="00190BC1">
        <w:rPr>
          <w:rFonts w:ascii="Calibri" w:hAnsi="Calibri"/>
          <w:b/>
          <w:lang w:val="it-IT"/>
        </w:rPr>
        <w:t>Premesse e opportunità</w:t>
      </w:r>
    </w:p>
    <w:p w:rsidR="006307A4" w:rsidRPr="00190BC1" w:rsidRDefault="00886C4A" w:rsidP="006307A4">
      <w:pPr>
        <w:pStyle w:val="text"/>
        <w:ind w:left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Professor </w:t>
      </w:r>
      <w:r w:rsidR="006307A4" w:rsidRPr="00190BC1">
        <w:rPr>
          <w:rFonts w:ascii="Calibri" w:hAnsi="Calibri"/>
          <w:lang w:val="it-IT"/>
        </w:rPr>
        <w:t>Dr. Harald Pechlaner</w:t>
      </w:r>
    </w:p>
    <w:p w:rsidR="006307A4" w:rsidRDefault="006307A4" w:rsidP="00630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lang w:val="it-IT" w:eastAsia="it-IT"/>
        </w:rPr>
      </w:pPr>
    </w:p>
    <w:p w:rsidR="006307A4" w:rsidRDefault="006307A4" w:rsidP="00A16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it-IT"/>
        </w:rPr>
      </w:pPr>
      <w:r w:rsidRPr="00637D19">
        <w:rPr>
          <w:rFonts w:ascii="Calibri" w:hAnsi="Calibri"/>
          <w:sz w:val="22"/>
          <w:lang w:val="it-IT"/>
        </w:rPr>
        <w:t>L</w:t>
      </w:r>
      <w:r w:rsidRPr="005C6A49">
        <w:rPr>
          <w:rFonts w:ascii="Calibri" w:hAnsi="Calibri"/>
          <w:sz w:val="22"/>
          <w:lang w:val="it-IT"/>
        </w:rPr>
        <w:t>e cooperative</w:t>
      </w:r>
      <w:r>
        <w:rPr>
          <w:rFonts w:ascii="Calibri" w:hAnsi="Calibri"/>
          <w:sz w:val="22"/>
          <w:lang w:val="it-IT"/>
        </w:rPr>
        <w:t>, grazie ai loro principi democratici e al loro orientamento economico,</w:t>
      </w:r>
      <w:r w:rsidRPr="005C6A49">
        <w:rPr>
          <w:rFonts w:ascii="Calibri" w:hAnsi="Calibri"/>
          <w:sz w:val="22"/>
          <w:lang w:val="it-IT"/>
        </w:rPr>
        <w:t xml:space="preserve"> possono contribuire </w:t>
      </w:r>
      <w:r w:rsidRPr="00637D19">
        <w:rPr>
          <w:rFonts w:ascii="Calibri" w:hAnsi="Calibri"/>
          <w:sz w:val="22"/>
          <w:lang w:val="it-IT"/>
        </w:rPr>
        <w:t>significativamente all</w:t>
      </w:r>
      <w:r>
        <w:rPr>
          <w:rFonts w:ascii="Calibri" w:hAnsi="Calibri"/>
          <w:sz w:val="22"/>
          <w:lang w:val="it-IT"/>
        </w:rPr>
        <w:t>a coesione</w:t>
      </w:r>
      <w:r w:rsidRPr="005C6A49">
        <w:rPr>
          <w:rFonts w:ascii="Calibri" w:hAnsi="Calibri"/>
          <w:sz w:val="22"/>
          <w:lang w:val="it-IT"/>
        </w:rPr>
        <w:t xml:space="preserve"> sociale, </w:t>
      </w:r>
      <w:r w:rsidRPr="00637D19">
        <w:rPr>
          <w:rFonts w:ascii="Calibri" w:hAnsi="Calibri"/>
          <w:sz w:val="22"/>
          <w:lang w:val="it-IT"/>
        </w:rPr>
        <w:t>al</w:t>
      </w:r>
      <w:r w:rsidRPr="005C6A49">
        <w:rPr>
          <w:rFonts w:ascii="Calibri" w:hAnsi="Calibri"/>
          <w:sz w:val="22"/>
          <w:lang w:val="it-IT"/>
        </w:rPr>
        <w:t xml:space="preserve">la creazione </w:t>
      </w:r>
      <w:r>
        <w:rPr>
          <w:rFonts w:ascii="Calibri" w:hAnsi="Calibri"/>
          <w:sz w:val="22"/>
          <w:lang w:val="it-IT"/>
        </w:rPr>
        <w:t>(</w:t>
      </w:r>
      <w:r w:rsidRPr="00637D19">
        <w:rPr>
          <w:rFonts w:ascii="Calibri" w:hAnsi="Calibri"/>
          <w:sz w:val="22"/>
          <w:lang w:val="it-IT"/>
        </w:rPr>
        <w:t>diretta e indiretta</w:t>
      </w:r>
      <w:r>
        <w:rPr>
          <w:rFonts w:ascii="Calibri" w:hAnsi="Calibri"/>
          <w:sz w:val="22"/>
          <w:lang w:val="it-IT"/>
        </w:rPr>
        <w:t>)</w:t>
      </w:r>
      <w:r w:rsidRPr="00637D19">
        <w:rPr>
          <w:rFonts w:ascii="Calibri" w:hAnsi="Calibri"/>
          <w:sz w:val="22"/>
          <w:lang w:val="it-IT"/>
        </w:rPr>
        <w:t xml:space="preserve"> </w:t>
      </w:r>
      <w:r w:rsidRPr="005C6A49">
        <w:rPr>
          <w:rFonts w:ascii="Calibri" w:hAnsi="Calibri"/>
          <w:sz w:val="22"/>
          <w:lang w:val="it-IT"/>
        </w:rPr>
        <w:t>di posti di lavoro</w:t>
      </w:r>
      <w:r>
        <w:rPr>
          <w:rFonts w:ascii="Calibri" w:hAnsi="Calibri"/>
          <w:sz w:val="22"/>
          <w:lang w:val="it-IT"/>
        </w:rPr>
        <w:t xml:space="preserve">, alla qualità della vita </w:t>
      </w:r>
      <w:r w:rsidRPr="00637D19">
        <w:rPr>
          <w:rFonts w:ascii="Calibri" w:hAnsi="Calibri"/>
          <w:sz w:val="22"/>
          <w:lang w:val="it-IT"/>
        </w:rPr>
        <w:t>e alla competitività di una regione</w:t>
      </w:r>
      <w:r w:rsidRPr="005C6A49">
        <w:rPr>
          <w:rFonts w:ascii="Calibri" w:hAnsi="Calibri"/>
          <w:sz w:val="22"/>
          <w:lang w:val="it-IT"/>
        </w:rPr>
        <w:t>.</w:t>
      </w:r>
      <w:r w:rsidRPr="00ED5B8C">
        <w:rPr>
          <w:lang w:val="it-IT"/>
        </w:rPr>
        <w:t xml:space="preserve"> </w:t>
      </w:r>
    </w:p>
    <w:p w:rsidR="006307A4" w:rsidRPr="00637D19" w:rsidRDefault="006307A4" w:rsidP="00A16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lang w:val="it-IT"/>
        </w:rPr>
      </w:pPr>
      <w:r w:rsidRPr="00637D19">
        <w:rPr>
          <w:rFonts w:ascii="Calibri" w:hAnsi="Calibri"/>
          <w:sz w:val="22"/>
          <w:lang w:val="it-IT"/>
        </w:rPr>
        <w:t>Il loro impatto sullo sviluppo economico, sia nel settore pubblico che in quello privato, risulta ancora più evidente in quelle realtà frammentate e polimorfe che devono trovare un difficile equilibrio tra tradizione e innovazione per far fronte a una competizione sempre più globale e agguerrita</w:t>
      </w:r>
      <w:r>
        <w:rPr>
          <w:rFonts w:ascii="Calibri" w:hAnsi="Calibri"/>
          <w:sz w:val="22"/>
          <w:lang w:val="it-IT"/>
        </w:rPr>
        <w:t>.</w:t>
      </w:r>
    </w:p>
    <w:p w:rsidR="006307A4" w:rsidRDefault="006307A4" w:rsidP="00A16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lang w:val="it-IT"/>
        </w:rPr>
      </w:pPr>
      <w:r w:rsidRPr="00637D19">
        <w:rPr>
          <w:rFonts w:ascii="Calibri" w:hAnsi="Calibri"/>
          <w:sz w:val="22"/>
          <w:lang w:val="it-IT"/>
        </w:rPr>
        <w:t xml:space="preserve">Esempio lampante è infatti quello delle cooperative in Alto Adige, che </w:t>
      </w:r>
      <w:r>
        <w:rPr>
          <w:rFonts w:ascii="Calibri" w:hAnsi="Calibri"/>
          <w:sz w:val="22"/>
          <w:lang w:val="it-IT"/>
        </w:rPr>
        <w:t xml:space="preserve">tradizionalmente </w:t>
      </w:r>
      <w:r w:rsidRPr="00637D19">
        <w:rPr>
          <w:rFonts w:ascii="Calibri" w:hAnsi="Calibri"/>
          <w:sz w:val="22"/>
          <w:lang w:val="it-IT"/>
        </w:rPr>
        <w:t xml:space="preserve">sono </w:t>
      </w:r>
      <w:r>
        <w:rPr>
          <w:rFonts w:ascii="Calibri" w:hAnsi="Calibri"/>
          <w:sz w:val="22"/>
          <w:lang w:val="it-IT"/>
        </w:rPr>
        <w:t>state - e tuttora</w:t>
      </w:r>
      <w:r w:rsidRPr="00637D19">
        <w:rPr>
          <w:rFonts w:ascii="Calibri" w:hAnsi="Calibri"/>
          <w:sz w:val="22"/>
          <w:lang w:val="it-IT"/>
        </w:rPr>
        <w:t xml:space="preserve"> sono</w:t>
      </w:r>
      <w:r>
        <w:rPr>
          <w:rFonts w:ascii="Calibri" w:hAnsi="Calibri"/>
          <w:sz w:val="22"/>
          <w:lang w:val="it-IT"/>
        </w:rPr>
        <w:t xml:space="preserve"> -</w:t>
      </w:r>
      <w:r w:rsidRPr="00637D19">
        <w:rPr>
          <w:rFonts w:ascii="Calibri" w:hAnsi="Calibri"/>
          <w:sz w:val="22"/>
          <w:lang w:val="it-IT"/>
        </w:rPr>
        <w:t xml:space="preserve"> </w:t>
      </w:r>
      <w:r w:rsidRPr="005C6A49">
        <w:rPr>
          <w:rFonts w:ascii="Calibri" w:hAnsi="Calibri"/>
          <w:sz w:val="22"/>
          <w:lang w:val="it-IT"/>
        </w:rPr>
        <w:t>strument</w:t>
      </w:r>
      <w:r w:rsidRPr="00637D19">
        <w:rPr>
          <w:rFonts w:ascii="Calibri" w:hAnsi="Calibri"/>
          <w:sz w:val="22"/>
          <w:lang w:val="it-IT"/>
        </w:rPr>
        <w:t>o essenziale</w:t>
      </w:r>
      <w:r>
        <w:rPr>
          <w:rFonts w:ascii="Calibri" w:hAnsi="Calibri"/>
          <w:sz w:val="22"/>
          <w:lang w:val="it-IT"/>
        </w:rPr>
        <w:t xml:space="preserve"> per </w:t>
      </w:r>
      <w:r w:rsidRPr="005C6A49">
        <w:rPr>
          <w:rFonts w:ascii="Calibri" w:hAnsi="Calibri"/>
          <w:sz w:val="22"/>
          <w:lang w:val="it-IT"/>
        </w:rPr>
        <w:t>lo sviluppo economico e sociale</w:t>
      </w:r>
      <w:r w:rsidRPr="00637D19">
        <w:rPr>
          <w:rFonts w:ascii="Calibri" w:hAnsi="Calibri"/>
          <w:sz w:val="22"/>
          <w:lang w:val="it-IT"/>
        </w:rPr>
        <w:t xml:space="preserve"> della regione</w:t>
      </w:r>
      <w:r>
        <w:rPr>
          <w:rFonts w:ascii="Calibri" w:hAnsi="Calibri"/>
          <w:sz w:val="22"/>
          <w:lang w:val="it-IT"/>
        </w:rPr>
        <w:t xml:space="preserve">, come si deduce dalla loro diffusa presenza sul territorio. Infatti, </w:t>
      </w:r>
      <w:r w:rsidRPr="00637D19">
        <w:rPr>
          <w:rFonts w:ascii="Calibri" w:hAnsi="Calibri"/>
          <w:sz w:val="22"/>
          <w:lang w:val="it-IT"/>
        </w:rPr>
        <w:t>l’Alto Adige conta ben 1.031 cooperative</w:t>
      </w:r>
      <w:r w:rsidRPr="005C6A49">
        <w:rPr>
          <w:rFonts w:ascii="Calibri" w:hAnsi="Calibri"/>
          <w:sz w:val="22"/>
          <w:lang w:val="it-IT"/>
        </w:rPr>
        <w:t xml:space="preserve"> registrate </w:t>
      </w:r>
      <w:r w:rsidRPr="00637D19">
        <w:rPr>
          <w:rFonts w:ascii="Calibri" w:hAnsi="Calibri"/>
          <w:sz w:val="22"/>
          <w:lang w:val="it-IT"/>
        </w:rPr>
        <w:t>per un totale di</w:t>
      </w:r>
      <w:r w:rsidRPr="005C6A49">
        <w:rPr>
          <w:rFonts w:ascii="Calibri" w:hAnsi="Calibri"/>
          <w:sz w:val="22"/>
          <w:lang w:val="it-IT"/>
        </w:rPr>
        <w:t xml:space="preserve"> </w:t>
      </w:r>
      <w:r w:rsidRPr="00637D19">
        <w:rPr>
          <w:rFonts w:ascii="Calibri" w:hAnsi="Calibri"/>
          <w:sz w:val="22"/>
          <w:lang w:val="it-IT"/>
        </w:rPr>
        <w:t>165.000 soci</w:t>
      </w:r>
      <w:r w:rsidRPr="005C6A49">
        <w:rPr>
          <w:rFonts w:ascii="Calibri" w:hAnsi="Calibri"/>
          <w:sz w:val="22"/>
          <w:lang w:val="it-IT"/>
        </w:rPr>
        <w:t xml:space="preserve">, con aree di attività </w:t>
      </w:r>
      <w:r>
        <w:rPr>
          <w:rFonts w:ascii="Calibri" w:hAnsi="Calibri"/>
          <w:sz w:val="22"/>
          <w:lang w:val="it-IT"/>
        </w:rPr>
        <w:t>che spaziano da quelle più tradizionali, come l’a</w:t>
      </w:r>
      <w:r w:rsidRPr="005C6A49">
        <w:rPr>
          <w:rFonts w:ascii="Calibri" w:hAnsi="Calibri"/>
          <w:sz w:val="22"/>
          <w:lang w:val="it-IT"/>
        </w:rPr>
        <w:t xml:space="preserve">gricoltura, </w:t>
      </w:r>
      <w:r>
        <w:rPr>
          <w:rFonts w:ascii="Calibri" w:hAnsi="Calibri"/>
          <w:sz w:val="22"/>
          <w:lang w:val="it-IT"/>
        </w:rPr>
        <w:t xml:space="preserve">il </w:t>
      </w:r>
      <w:r w:rsidRPr="005C6A49">
        <w:rPr>
          <w:rFonts w:ascii="Calibri" w:hAnsi="Calibri"/>
          <w:sz w:val="22"/>
          <w:lang w:val="it-IT"/>
        </w:rPr>
        <w:t xml:space="preserve">commercio al dettaglio, </w:t>
      </w:r>
      <w:r>
        <w:rPr>
          <w:rFonts w:ascii="Calibri" w:hAnsi="Calibri"/>
          <w:sz w:val="22"/>
          <w:lang w:val="it-IT"/>
        </w:rPr>
        <w:t>le questioni sociali e i</w:t>
      </w:r>
      <w:r w:rsidRPr="005C6A49">
        <w:rPr>
          <w:rFonts w:ascii="Calibri" w:hAnsi="Calibri"/>
          <w:sz w:val="22"/>
          <w:lang w:val="it-IT"/>
        </w:rPr>
        <w:t>l sistema creditizio</w:t>
      </w:r>
      <w:r w:rsidR="00567BB3">
        <w:rPr>
          <w:rFonts w:ascii="Calibri" w:hAnsi="Calibri"/>
          <w:sz w:val="22"/>
          <w:lang w:val="it-IT"/>
        </w:rPr>
        <w:t xml:space="preserve">, </w:t>
      </w:r>
      <w:r>
        <w:rPr>
          <w:rFonts w:ascii="Calibri" w:hAnsi="Calibri"/>
          <w:sz w:val="22"/>
          <w:lang w:val="it-IT"/>
        </w:rPr>
        <w:t xml:space="preserve">a quelle emergenti nell’ambito delle energie rinnovabili, della gestione delle destinazioni turistiche e dell’innovazione tecnologica. </w:t>
      </w:r>
    </w:p>
    <w:p w:rsidR="006307A4" w:rsidRDefault="006307A4" w:rsidP="00A16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lang w:val="it-IT"/>
        </w:rPr>
      </w:pPr>
      <w:r>
        <w:rPr>
          <w:rFonts w:ascii="Calibri" w:hAnsi="Calibri"/>
          <w:sz w:val="22"/>
          <w:lang w:val="it-IT"/>
        </w:rPr>
        <w:t>La</w:t>
      </w:r>
      <w:r w:rsidRPr="008E739E">
        <w:rPr>
          <w:rFonts w:ascii="Calibri" w:hAnsi="Calibri"/>
          <w:i/>
          <w:sz w:val="22"/>
          <w:lang w:val="it-IT"/>
        </w:rPr>
        <w:t xml:space="preserve"> </w:t>
      </w:r>
      <w:proofErr w:type="spellStart"/>
      <w:r w:rsidRPr="008E739E">
        <w:rPr>
          <w:rFonts w:ascii="Calibri" w:hAnsi="Calibri"/>
          <w:i/>
          <w:sz w:val="22"/>
          <w:lang w:val="it-IT"/>
        </w:rPr>
        <w:t>governance</w:t>
      </w:r>
      <w:proofErr w:type="spellEnd"/>
      <w:r>
        <w:rPr>
          <w:rFonts w:ascii="Calibri" w:hAnsi="Calibri"/>
          <w:sz w:val="22"/>
          <w:lang w:val="it-IT"/>
        </w:rPr>
        <w:t xml:space="preserve"> delle cooperative deve destreggiarsi tra i diversi interessi dei soci e degli attori principali e, affinché si ottenga un risultato </w:t>
      </w:r>
      <w:proofErr w:type="spellStart"/>
      <w:r w:rsidRPr="0011537C">
        <w:rPr>
          <w:rFonts w:ascii="Calibri" w:hAnsi="Calibri"/>
          <w:i/>
          <w:sz w:val="22"/>
          <w:lang w:val="it-IT"/>
        </w:rPr>
        <w:t>win-win</w:t>
      </w:r>
      <w:proofErr w:type="spellEnd"/>
      <w:r w:rsidRPr="0011537C">
        <w:rPr>
          <w:rFonts w:ascii="Calibri" w:hAnsi="Calibri"/>
          <w:i/>
          <w:sz w:val="22"/>
          <w:lang w:val="it-IT"/>
        </w:rPr>
        <w:t xml:space="preserve"> </w:t>
      </w:r>
      <w:r>
        <w:rPr>
          <w:rFonts w:ascii="Calibri" w:hAnsi="Calibri"/>
          <w:sz w:val="22"/>
          <w:lang w:val="it-IT"/>
        </w:rPr>
        <w:t xml:space="preserve">sostenibile, è necessario che essa rispecchi e incarni i valori e le esigenze del sistema cooperativo, ovvero continuità, coesione regionale, senso di responsabilità personale e nei confronti del prossimo, solidarietà e sussidiarietà. </w:t>
      </w:r>
    </w:p>
    <w:p w:rsidR="006307A4" w:rsidRDefault="006307A4" w:rsidP="00A16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lang w:val="it-IT"/>
        </w:rPr>
      </w:pPr>
      <w:r>
        <w:rPr>
          <w:rFonts w:ascii="Calibri" w:hAnsi="Calibri"/>
          <w:sz w:val="22"/>
          <w:lang w:val="it-IT"/>
        </w:rPr>
        <w:t xml:space="preserve">In questo contesto stabilità e cambiamento non si escludono a vicenda, bensì si compenetrano </w:t>
      </w:r>
      <w:r w:rsidR="00324523">
        <w:rPr>
          <w:rFonts w:ascii="Calibri" w:hAnsi="Calibri"/>
          <w:sz w:val="22"/>
          <w:lang w:val="it-IT"/>
        </w:rPr>
        <w:t>in</w:t>
      </w:r>
      <w:r>
        <w:rPr>
          <w:rFonts w:ascii="Calibri" w:hAnsi="Calibri"/>
          <w:sz w:val="22"/>
          <w:lang w:val="it-IT"/>
        </w:rPr>
        <w:t xml:space="preserve"> una stabilità che, in un contesto mutevole su vari livelli - economico, sociale, tecnologico e ambientale -,</w:t>
      </w:r>
      <w:r w:rsidRPr="00241715">
        <w:rPr>
          <w:rFonts w:ascii="Calibri" w:hAnsi="Calibri"/>
          <w:sz w:val="22"/>
          <w:lang w:val="it-IT"/>
        </w:rPr>
        <w:t xml:space="preserve"> </w:t>
      </w:r>
      <w:r>
        <w:rPr>
          <w:rFonts w:ascii="Calibri" w:hAnsi="Calibri"/>
          <w:sz w:val="22"/>
          <w:lang w:val="it-IT"/>
        </w:rPr>
        <w:t>sa reinventarsi e svilupparsi.</w:t>
      </w:r>
    </w:p>
    <w:p w:rsidR="00605B78" w:rsidRPr="00241715" w:rsidRDefault="00605B78" w:rsidP="00A16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it-IT"/>
        </w:rPr>
      </w:pPr>
    </w:p>
    <w:p w:rsidR="00AA60F2" w:rsidRPr="00DB4CC1" w:rsidRDefault="00A15818" w:rsidP="00A15818">
      <w:pPr>
        <w:pStyle w:val="text"/>
        <w:ind w:left="0"/>
        <w:jc w:val="center"/>
        <w:rPr>
          <w:rFonts w:ascii="Calibri" w:hAnsi="Calibri"/>
          <w:b/>
          <w:sz w:val="28"/>
        </w:rPr>
      </w:pPr>
      <w:r w:rsidRPr="00DB4CC1">
        <w:rPr>
          <w:rFonts w:ascii="Calibri" w:hAnsi="Calibri"/>
          <w:b/>
          <w:sz w:val="28"/>
        </w:rPr>
        <w:t xml:space="preserve">Der Beitrag von Genossenschaften zur nachhaltigen regionalen </w:t>
      </w:r>
      <w:r w:rsidR="00823318" w:rsidRPr="00DB4CC1">
        <w:rPr>
          <w:rFonts w:ascii="Calibri" w:hAnsi="Calibri"/>
          <w:b/>
          <w:sz w:val="28"/>
        </w:rPr>
        <w:t>Entwicklung</w:t>
      </w:r>
    </w:p>
    <w:p w:rsidR="00A15818" w:rsidRPr="00DB4CC1" w:rsidRDefault="00A15818" w:rsidP="00A15818">
      <w:pPr>
        <w:pStyle w:val="text"/>
        <w:ind w:left="0"/>
        <w:jc w:val="center"/>
        <w:rPr>
          <w:rFonts w:ascii="Calibri" w:hAnsi="Calibri"/>
          <w:b/>
        </w:rPr>
      </w:pPr>
      <w:r w:rsidRPr="00DB4CC1">
        <w:rPr>
          <w:rFonts w:ascii="Calibri" w:hAnsi="Calibri"/>
          <w:b/>
        </w:rPr>
        <w:t>Prämissen und Möglichkeiten</w:t>
      </w:r>
    </w:p>
    <w:p w:rsidR="00886C4A" w:rsidRPr="00232E79" w:rsidRDefault="00886C4A" w:rsidP="00886C4A">
      <w:pPr>
        <w:pStyle w:val="text"/>
        <w:ind w:left="0"/>
        <w:rPr>
          <w:rFonts w:ascii="Calibri" w:hAnsi="Calibri"/>
        </w:rPr>
      </w:pPr>
      <w:r w:rsidRPr="00232E79">
        <w:rPr>
          <w:rFonts w:ascii="Calibri" w:hAnsi="Calibri"/>
        </w:rPr>
        <w:t>Professor Dr. Harald Pechlaner</w:t>
      </w:r>
    </w:p>
    <w:p w:rsidR="00886C4A" w:rsidRPr="00232E79" w:rsidRDefault="00886C4A" w:rsidP="00A1669E">
      <w:pPr>
        <w:pStyle w:val="text"/>
        <w:ind w:left="0"/>
        <w:rPr>
          <w:rFonts w:ascii="Calibri" w:hAnsi="Calibri"/>
          <w:szCs w:val="22"/>
        </w:rPr>
      </w:pPr>
      <w:r w:rsidRPr="00232E79">
        <w:rPr>
          <w:rFonts w:ascii="Calibri" w:hAnsi="Calibri"/>
          <w:szCs w:val="22"/>
        </w:rPr>
        <w:t xml:space="preserve">Genossenschaften können </w:t>
      </w:r>
      <w:r w:rsidR="00232E79" w:rsidRPr="00232E79">
        <w:rPr>
          <w:rFonts w:ascii="Calibri" w:hAnsi="Calibri"/>
          <w:szCs w:val="22"/>
        </w:rPr>
        <w:t>d</w:t>
      </w:r>
      <w:r w:rsidR="00232E79">
        <w:rPr>
          <w:rFonts w:ascii="Calibri" w:hAnsi="Calibri"/>
          <w:szCs w:val="22"/>
        </w:rPr>
        <w:t>ank</w:t>
      </w:r>
      <w:r w:rsidRPr="00232E79">
        <w:rPr>
          <w:rFonts w:ascii="Calibri" w:hAnsi="Calibri"/>
          <w:szCs w:val="22"/>
        </w:rPr>
        <w:t xml:space="preserve"> ihre</w:t>
      </w:r>
      <w:r w:rsidR="00232E79">
        <w:rPr>
          <w:rFonts w:ascii="Calibri" w:hAnsi="Calibri"/>
          <w:szCs w:val="22"/>
        </w:rPr>
        <w:t>r</w:t>
      </w:r>
      <w:r w:rsidRPr="00232E79">
        <w:rPr>
          <w:rFonts w:ascii="Calibri" w:hAnsi="Calibri"/>
          <w:szCs w:val="22"/>
        </w:rPr>
        <w:t xml:space="preserve"> demokratischen Prinzipien und ihrer wirtschaftlic</w:t>
      </w:r>
      <w:r w:rsidR="00232E79">
        <w:rPr>
          <w:rFonts w:ascii="Calibri" w:hAnsi="Calibri"/>
          <w:szCs w:val="22"/>
        </w:rPr>
        <w:t>hen Ausrichtung, erheblich zu</w:t>
      </w:r>
      <w:r w:rsidRPr="00232E79">
        <w:rPr>
          <w:rFonts w:ascii="Calibri" w:hAnsi="Calibri"/>
          <w:szCs w:val="22"/>
        </w:rPr>
        <w:t>r (direkten und indirekten) Schaffung von Arbeitsplätzen, zur Förderung der Lebensqualität sowie zur regionalen Wettbewerbsfähigkeit beitragen.</w:t>
      </w:r>
      <w:r w:rsidRPr="00232E79" w:rsidDel="006A08C3">
        <w:rPr>
          <w:rFonts w:ascii="Calibri" w:hAnsi="Calibri"/>
          <w:szCs w:val="22"/>
        </w:rPr>
        <w:t xml:space="preserve"> </w:t>
      </w:r>
    </w:p>
    <w:p w:rsidR="00886C4A" w:rsidRPr="00886C4A" w:rsidRDefault="00886C4A" w:rsidP="00A16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  <w:r w:rsidRPr="00232E79">
        <w:rPr>
          <w:rFonts w:ascii="Calibri" w:hAnsi="Calibri"/>
          <w:sz w:val="22"/>
          <w:szCs w:val="22"/>
        </w:rPr>
        <w:t>Ihre Auswirkungen auf die wirtschaftliche Entwicklung</w:t>
      </w:r>
      <w:r w:rsidR="002445A7">
        <w:rPr>
          <w:rFonts w:ascii="Calibri" w:hAnsi="Calibri"/>
          <w:sz w:val="22"/>
          <w:szCs w:val="22"/>
        </w:rPr>
        <w:t>, sowohl</w:t>
      </w:r>
      <w:r w:rsidRPr="00232E79">
        <w:rPr>
          <w:rFonts w:ascii="Calibri" w:hAnsi="Calibri"/>
          <w:sz w:val="22"/>
          <w:szCs w:val="22"/>
        </w:rPr>
        <w:t xml:space="preserve"> innerhalb des öffentlichen</w:t>
      </w:r>
      <w:r w:rsidR="002445A7">
        <w:rPr>
          <w:rFonts w:ascii="Calibri" w:hAnsi="Calibri"/>
          <w:sz w:val="22"/>
          <w:szCs w:val="22"/>
        </w:rPr>
        <w:t>,</w:t>
      </w:r>
      <w:r w:rsidRPr="00232E79">
        <w:rPr>
          <w:rFonts w:ascii="Calibri" w:hAnsi="Calibri"/>
          <w:sz w:val="22"/>
          <w:szCs w:val="22"/>
        </w:rPr>
        <w:t xml:space="preserve"> als auch des privaten Sektor</w:t>
      </w:r>
      <w:r w:rsidR="002445A7">
        <w:rPr>
          <w:rFonts w:ascii="Calibri" w:hAnsi="Calibri"/>
          <w:sz w:val="22"/>
          <w:szCs w:val="22"/>
        </w:rPr>
        <w:t xml:space="preserve">s, </w:t>
      </w:r>
      <w:r w:rsidRPr="00232E79">
        <w:rPr>
          <w:rFonts w:ascii="Calibri" w:hAnsi="Calibri"/>
          <w:sz w:val="22"/>
          <w:szCs w:val="22"/>
        </w:rPr>
        <w:t>wird noch deutlicher in fragmentierten und polymorphen Realitäten, die eine schwierige Balance zwischen Tradition</w:t>
      </w:r>
      <w:r w:rsidRPr="00886C4A">
        <w:rPr>
          <w:rFonts w:ascii="Calibri" w:hAnsi="Calibri"/>
          <w:sz w:val="22"/>
          <w:szCs w:val="22"/>
        </w:rPr>
        <w:t xml:space="preserve"> und Innovation finden müssen, um mit einem zunehmend globalen und abgehärteten Wettbewerb umgehen zu können. </w:t>
      </w:r>
    </w:p>
    <w:p w:rsidR="00886C4A" w:rsidRPr="00232E79" w:rsidRDefault="00886C4A" w:rsidP="00A16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  <w:r w:rsidRPr="00886C4A">
        <w:rPr>
          <w:rFonts w:ascii="Calibri" w:hAnsi="Calibri"/>
          <w:sz w:val="22"/>
          <w:szCs w:val="22"/>
        </w:rPr>
        <w:t>Ein bezeichnendes Beispiel hierfür sind die Südtiroler Genossenschaften, essentielles Instrument für die wirtschaftliche und soziale Entwicklung der Region in Vergangenheit wie auch heute</w:t>
      </w:r>
      <w:r w:rsidR="00963E9E">
        <w:rPr>
          <w:rFonts w:ascii="Calibri" w:hAnsi="Calibri"/>
          <w:sz w:val="22"/>
          <w:szCs w:val="22"/>
        </w:rPr>
        <w:t>. D</w:t>
      </w:r>
      <w:r w:rsidRPr="00886C4A">
        <w:rPr>
          <w:rFonts w:ascii="Calibri" w:hAnsi="Calibri"/>
          <w:sz w:val="22"/>
          <w:szCs w:val="22"/>
        </w:rPr>
        <w:t>eren Relevanz</w:t>
      </w:r>
      <w:r w:rsidR="00963E9E">
        <w:rPr>
          <w:rFonts w:ascii="Calibri" w:hAnsi="Calibri"/>
          <w:sz w:val="22"/>
          <w:szCs w:val="22"/>
        </w:rPr>
        <w:t xml:space="preserve"> ist</w:t>
      </w:r>
      <w:r w:rsidRPr="00886C4A">
        <w:rPr>
          <w:rFonts w:ascii="Calibri" w:hAnsi="Calibri"/>
          <w:sz w:val="22"/>
          <w:szCs w:val="22"/>
        </w:rPr>
        <w:t xml:space="preserve"> auch durch d</w:t>
      </w:r>
      <w:r w:rsidR="00963E9E">
        <w:rPr>
          <w:rFonts w:ascii="Calibri" w:hAnsi="Calibri"/>
          <w:sz w:val="22"/>
          <w:szCs w:val="22"/>
        </w:rPr>
        <w:t>eren</w:t>
      </w:r>
      <w:r w:rsidRPr="00886C4A">
        <w:rPr>
          <w:rFonts w:ascii="Calibri" w:hAnsi="Calibri"/>
          <w:sz w:val="22"/>
          <w:szCs w:val="22"/>
        </w:rPr>
        <w:t xml:space="preserve"> weite Verbreitung </w:t>
      </w:r>
      <w:r w:rsidR="00963E9E">
        <w:rPr>
          <w:rFonts w:ascii="Calibri" w:hAnsi="Calibri"/>
          <w:sz w:val="22"/>
          <w:szCs w:val="22"/>
        </w:rPr>
        <w:t xml:space="preserve">auf dem gesamten Gebiet abzuleiten. In der Tat </w:t>
      </w:r>
      <w:r w:rsidRPr="00886C4A">
        <w:rPr>
          <w:rFonts w:ascii="Calibri" w:hAnsi="Calibri"/>
          <w:sz w:val="22"/>
          <w:szCs w:val="22"/>
        </w:rPr>
        <w:t>umfassen die 1.031 eingetragenen Südtiroler Genossenschaften insgesamt 165.000 Mitglieder und sind in unterschiedliche</w:t>
      </w:r>
      <w:r w:rsidR="00963E9E">
        <w:rPr>
          <w:rFonts w:ascii="Calibri" w:hAnsi="Calibri"/>
          <w:sz w:val="22"/>
          <w:szCs w:val="22"/>
        </w:rPr>
        <w:t>n</w:t>
      </w:r>
      <w:r w:rsidRPr="00886C4A">
        <w:rPr>
          <w:rFonts w:ascii="Calibri" w:hAnsi="Calibri"/>
          <w:sz w:val="22"/>
          <w:szCs w:val="22"/>
        </w:rPr>
        <w:t xml:space="preserve"> Bereiche</w:t>
      </w:r>
      <w:r w:rsidR="00963E9E">
        <w:rPr>
          <w:rFonts w:ascii="Calibri" w:hAnsi="Calibri"/>
          <w:sz w:val="22"/>
          <w:szCs w:val="22"/>
        </w:rPr>
        <w:t>n</w:t>
      </w:r>
      <w:r w:rsidRPr="00886C4A">
        <w:rPr>
          <w:rFonts w:ascii="Calibri" w:hAnsi="Calibri"/>
          <w:sz w:val="22"/>
          <w:szCs w:val="22"/>
        </w:rPr>
        <w:t xml:space="preserve"> tätig, welche von den traditionellen Sektoren wie Landwirtschaft, Einzelhandel, Sozial- und </w:t>
      </w:r>
      <w:r w:rsidRPr="00232E79">
        <w:rPr>
          <w:rFonts w:ascii="Calibri" w:hAnsi="Calibri"/>
          <w:sz w:val="22"/>
          <w:szCs w:val="22"/>
        </w:rPr>
        <w:lastRenderedPageBreak/>
        <w:t>Kreditgenossenschaften, bis hin zu den aufsteigenden Sektoren</w:t>
      </w:r>
      <w:r w:rsidR="00963E9E">
        <w:rPr>
          <w:rFonts w:ascii="Calibri" w:hAnsi="Calibri"/>
          <w:sz w:val="22"/>
          <w:szCs w:val="22"/>
        </w:rPr>
        <w:t>, wie erneuerbare Energien</w:t>
      </w:r>
      <w:r w:rsidRPr="00232E79">
        <w:rPr>
          <w:rFonts w:ascii="Calibri" w:hAnsi="Calibri"/>
          <w:sz w:val="22"/>
          <w:szCs w:val="22"/>
        </w:rPr>
        <w:t>, Destinationsmanagement und technologische Innovations-und Informationsmanagement</w:t>
      </w:r>
      <w:r w:rsidR="00963E9E">
        <w:rPr>
          <w:rFonts w:ascii="Calibri" w:hAnsi="Calibri"/>
          <w:sz w:val="22"/>
          <w:szCs w:val="22"/>
        </w:rPr>
        <w:t>,</w:t>
      </w:r>
      <w:r w:rsidRPr="00232E79">
        <w:rPr>
          <w:rFonts w:ascii="Calibri" w:hAnsi="Calibri"/>
          <w:sz w:val="22"/>
          <w:szCs w:val="22"/>
        </w:rPr>
        <w:t xml:space="preserve"> reichen.</w:t>
      </w:r>
    </w:p>
    <w:p w:rsidR="00886C4A" w:rsidRPr="00232E79" w:rsidRDefault="00886C4A" w:rsidP="00A16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  <w:r w:rsidRPr="00232E79">
        <w:rPr>
          <w:rFonts w:ascii="Calibri" w:hAnsi="Calibri"/>
          <w:sz w:val="22"/>
          <w:szCs w:val="22"/>
        </w:rPr>
        <w:t xml:space="preserve">Die Herausforderung der </w:t>
      </w:r>
      <w:proofErr w:type="spellStart"/>
      <w:r w:rsidRPr="00232E79">
        <w:rPr>
          <w:rFonts w:ascii="Calibri" w:hAnsi="Calibri"/>
          <w:sz w:val="22"/>
          <w:szCs w:val="22"/>
        </w:rPr>
        <w:t>Governance</w:t>
      </w:r>
      <w:proofErr w:type="spellEnd"/>
      <w:r w:rsidRPr="00232E79">
        <w:rPr>
          <w:rFonts w:ascii="Calibri" w:hAnsi="Calibri"/>
          <w:sz w:val="22"/>
          <w:szCs w:val="22"/>
        </w:rPr>
        <w:t xml:space="preserve"> der Genossenschaften besteht hierbei in der Schaffung eines Equilibriums zwischen den Interessen der Mitglieder und der zentralen Akteure</w:t>
      </w:r>
      <w:r w:rsidR="00567DA4">
        <w:rPr>
          <w:rFonts w:ascii="Calibri" w:hAnsi="Calibri"/>
          <w:sz w:val="22"/>
          <w:szCs w:val="22"/>
        </w:rPr>
        <w:t xml:space="preserve">. Ziel der </w:t>
      </w:r>
      <w:proofErr w:type="spellStart"/>
      <w:r w:rsidR="00567DA4">
        <w:rPr>
          <w:rFonts w:ascii="Calibri" w:hAnsi="Calibri"/>
          <w:sz w:val="22"/>
          <w:szCs w:val="22"/>
        </w:rPr>
        <w:t>Governance</w:t>
      </w:r>
      <w:proofErr w:type="spellEnd"/>
      <w:r w:rsidR="00567DA4">
        <w:rPr>
          <w:rFonts w:ascii="Calibri" w:hAnsi="Calibri"/>
          <w:sz w:val="22"/>
          <w:szCs w:val="22"/>
        </w:rPr>
        <w:t xml:space="preserve"> ist es,</w:t>
      </w:r>
      <w:r w:rsidRPr="00232E79">
        <w:rPr>
          <w:rFonts w:ascii="Calibri" w:hAnsi="Calibri"/>
          <w:sz w:val="22"/>
          <w:szCs w:val="22"/>
        </w:rPr>
        <w:t xml:space="preserve"> eine nachhaltige und wechselseitige </w:t>
      </w:r>
      <w:proofErr w:type="spellStart"/>
      <w:r w:rsidRPr="00232E79">
        <w:rPr>
          <w:rFonts w:ascii="Calibri" w:hAnsi="Calibri"/>
          <w:sz w:val="22"/>
          <w:szCs w:val="22"/>
        </w:rPr>
        <w:t>Win</w:t>
      </w:r>
      <w:proofErr w:type="spellEnd"/>
      <w:r w:rsidRPr="00232E79">
        <w:rPr>
          <w:rFonts w:ascii="Calibri" w:hAnsi="Calibri"/>
          <w:sz w:val="22"/>
          <w:szCs w:val="22"/>
        </w:rPr>
        <w:t>-</w:t>
      </w:r>
      <w:proofErr w:type="spellStart"/>
      <w:r w:rsidRPr="00232E79">
        <w:rPr>
          <w:rFonts w:ascii="Calibri" w:hAnsi="Calibri"/>
          <w:sz w:val="22"/>
          <w:szCs w:val="22"/>
        </w:rPr>
        <w:t>Win</w:t>
      </w:r>
      <w:proofErr w:type="spellEnd"/>
      <w:r w:rsidRPr="00232E79">
        <w:rPr>
          <w:rFonts w:ascii="Calibri" w:hAnsi="Calibri"/>
          <w:sz w:val="22"/>
          <w:szCs w:val="22"/>
        </w:rPr>
        <w:t>-Situation</w:t>
      </w:r>
      <w:r w:rsidR="00567DA4">
        <w:rPr>
          <w:rFonts w:ascii="Calibri" w:hAnsi="Calibri"/>
          <w:sz w:val="22"/>
          <w:szCs w:val="22"/>
        </w:rPr>
        <w:t xml:space="preserve"> zu schaffen</w:t>
      </w:r>
      <w:r w:rsidRPr="00232E79">
        <w:rPr>
          <w:rFonts w:ascii="Calibri" w:hAnsi="Calibri"/>
          <w:sz w:val="22"/>
          <w:szCs w:val="22"/>
        </w:rPr>
        <w:t xml:space="preserve">. </w:t>
      </w:r>
      <w:r w:rsidR="00567DA4">
        <w:rPr>
          <w:rFonts w:ascii="Calibri" w:hAnsi="Calibri"/>
          <w:sz w:val="22"/>
          <w:szCs w:val="22"/>
        </w:rPr>
        <w:t>H</w:t>
      </w:r>
      <w:r w:rsidRPr="00232E79">
        <w:rPr>
          <w:rFonts w:ascii="Calibri" w:hAnsi="Calibri"/>
          <w:sz w:val="22"/>
          <w:szCs w:val="22"/>
        </w:rPr>
        <w:t xml:space="preserve">ierfür </w:t>
      </w:r>
      <w:r w:rsidR="00567DA4">
        <w:rPr>
          <w:rFonts w:ascii="Calibri" w:hAnsi="Calibri"/>
          <w:sz w:val="22"/>
          <w:szCs w:val="22"/>
        </w:rPr>
        <w:t xml:space="preserve">müssen </w:t>
      </w:r>
      <w:r w:rsidRPr="00232E79">
        <w:rPr>
          <w:rFonts w:ascii="Calibri" w:hAnsi="Calibri"/>
          <w:sz w:val="22"/>
          <w:szCs w:val="22"/>
        </w:rPr>
        <w:t>die Werte und Ansprüche des Genossenschaftssystems wider</w:t>
      </w:r>
      <w:r w:rsidR="00567DA4">
        <w:rPr>
          <w:rFonts w:ascii="Calibri" w:hAnsi="Calibri"/>
          <w:sz w:val="22"/>
          <w:szCs w:val="22"/>
        </w:rPr>
        <w:t>ge</w:t>
      </w:r>
      <w:r w:rsidRPr="00232E79">
        <w:rPr>
          <w:rFonts w:ascii="Calibri" w:hAnsi="Calibri"/>
          <w:sz w:val="22"/>
          <w:szCs w:val="22"/>
        </w:rPr>
        <w:t>spiegel</w:t>
      </w:r>
      <w:r w:rsidR="00567DA4">
        <w:rPr>
          <w:rFonts w:ascii="Calibri" w:hAnsi="Calibri"/>
          <w:sz w:val="22"/>
          <w:szCs w:val="22"/>
        </w:rPr>
        <w:t>t</w:t>
      </w:r>
      <w:r w:rsidRPr="00232E79">
        <w:rPr>
          <w:rFonts w:ascii="Calibri" w:hAnsi="Calibri"/>
          <w:sz w:val="22"/>
          <w:szCs w:val="22"/>
        </w:rPr>
        <w:t xml:space="preserve"> und verkörper</w:t>
      </w:r>
      <w:r w:rsidR="00567DA4">
        <w:rPr>
          <w:rFonts w:ascii="Calibri" w:hAnsi="Calibri"/>
          <w:sz w:val="22"/>
          <w:szCs w:val="22"/>
        </w:rPr>
        <w:t>t werden</w:t>
      </w:r>
      <w:r w:rsidRPr="00232E79">
        <w:rPr>
          <w:rFonts w:ascii="Calibri" w:hAnsi="Calibri"/>
          <w:sz w:val="22"/>
          <w:szCs w:val="22"/>
        </w:rPr>
        <w:t xml:space="preserve">, </w:t>
      </w:r>
      <w:proofErr w:type="gramStart"/>
      <w:r w:rsidRPr="00232E79">
        <w:rPr>
          <w:rFonts w:ascii="Calibri" w:hAnsi="Calibri"/>
          <w:sz w:val="22"/>
          <w:szCs w:val="22"/>
        </w:rPr>
        <w:t>auf</w:t>
      </w:r>
      <w:proofErr w:type="gramEnd"/>
      <w:r w:rsidRPr="00232E79">
        <w:rPr>
          <w:rFonts w:ascii="Calibri" w:hAnsi="Calibri"/>
          <w:sz w:val="22"/>
          <w:szCs w:val="22"/>
        </w:rPr>
        <w:t xml:space="preserve"> dass Kontinuität, regionale Verbundenheit, Verantwortungsbewusstsein für die Mitmenschen, Solidarität sowie Subsidiarität gewährleistet sind.</w:t>
      </w:r>
    </w:p>
    <w:p w:rsidR="00886C4A" w:rsidRPr="00886C4A" w:rsidRDefault="00886C4A" w:rsidP="00A16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  <w:r w:rsidRPr="00232E79">
        <w:rPr>
          <w:rFonts w:ascii="Calibri" w:hAnsi="Calibri"/>
          <w:sz w:val="22"/>
          <w:szCs w:val="22"/>
        </w:rPr>
        <w:t>In diesem Zusammenhang schließen</w:t>
      </w:r>
      <w:r w:rsidRPr="00886C4A">
        <w:rPr>
          <w:rFonts w:ascii="Calibri" w:hAnsi="Calibri"/>
          <w:sz w:val="22"/>
          <w:szCs w:val="22"/>
        </w:rPr>
        <w:t xml:space="preserve"> sich Stabilität und Wandel nicht gegenseitig aus,</w:t>
      </w:r>
      <w:r w:rsidR="00E15401">
        <w:rPr>
          <w:rFonts w:ascii="Calibri" w:hAnsi="Calibri"/>
          <w:sz w:val="22"/>
          <w:szCs w:val="22"/>
        </w:rPr>
        <w:t xml:space="preserve"> sondern bilden </w:t>
      </w:r>
      <w:r w:rsidRPr="00886C4A">
        <w:rPr>
          <w:rFonts w:ascii="Calibri" w:hAnsi="Calibri"/>
          <w:sz w:val="22"/>
          <w:szCs w:val="22"/>
        </w:rPr>
        <w:t>d</w:t>
      </w:r>
      <w:r w:rsidR="00E15401">
        <w:rPr>
          <w:rFonts w:ascii="Calibri" w:hAnsi="Calibri"/>
          <w:sz w:val="22"/>
          <w:szCs w:val="22"/>
        </w:rPr>
        <w:t>ie Basis für eine Stabilität</w:t>
      </w:r>
      <w:r w:rsidR="00666E16">
        <w:rPr>
          <w:rFonts w:ascii="Calibri" w:hAnsi="Calibri"/>
          <w:sz w:val="22"/>
          <w:szCs w:val="22"/>
        </w:rPr>
        <w:t>,</w:t>
      </w:r>
      <w:r w:rsidRPr="00886C4A">
        <w:rPr>
          <w:rFonts w:ascii="Calibri" w:hAnsi="Calibri"/>
          <w:sz w:val="22"/>
          <w:szCs w:val="22"/>
        </w:rPr>
        <w:t xml:space="preserve"> die innerhalb eines</w:t>
      </w:r>
      <w:r w:rsidR="00E15401">
        <w:rPr>
          <w:rFonts w:ascii="Calibri" w:hAnsi="Calibri"/>
          <w:sz w:val="22"/>
          <w:szCs w:val="22"/>
        </w:rPr>
        <w:t>,</w:t>
      </w:r>
      <w:r w:rsidRPr="00886C4A">
        <w:rPr>
          <w:rFonts w:ascii="Calibri" w:hAnsi="Calibri"/>
          <w:sz w:val="22"/>
          <w:szCs w:val="22"/>
        </w:rPr>
        <w:t xml:space="preserve"> sich auf wirtschaftlicher, sozialer, technologische</w:t>
      </w:r>
      <w:r w:rsidR="00E15401">
        <w:rPr>
          <w:rFonts w:ascii="Calibri" w:hAnsi="Calibri"/>
          <w:sz w:val="22"/>
          <w:szCs w:val="22"/>
        </w:rPr>
        <w:t>r</w:t>
      </w:r>
      <w:r w:rsidRPr="00886C4A">
        <w:rPr>
          <w:rFonts w:ascii="Calibri" w:hAnsi="Calibri"/>
          <w:sz w:val="22"/>
          <w:szCs w:val="22"/>
        </w:rPr>
        <w:t xml:space="preserve"> und ökologischer Ebene verändernden Kontexts in der Lage ist, sich kontinuierlich zu entwickeln und neu zu erfinden. </w:t>
      </w:r>
    </w:p>
    <w:p w:rsidR="00605B78" w:rsidRDefault="00605B78">
      <w:pPr>
        <w:pStyle w:val="text"/>
        <w:ind w:left="0"/>
        <w:rPr>
          <w:rFonts w:ascii="Calibri" w:hAnsi="Calibri"/>
          <w:szCs w:val="22"/>
        </w:rPr>
      </w:pPr>
    </w:p>
    <w:p w:rsidR="00690E40" w:rsidRPr="00DB4CC1" w:rsidRDefault="00605B78">
      <w:pPr>
        <w:pStyle w:val="text"/>
        <w:ind w:left="0"/>
        <w:rPr>
          <w:rFonts w:ascii="Calibri" w:hAnsi="Calibri"/>
        </w:rPr>
      </w:pPr>
      <w:bookmarkStart w:id="0" w:name="_GoBack"/>
      <w:bookmarkEnd w:id="0"/>
      <w:proofErr w:type="spellStart"/>
      <w:r>
        <w:rPr>
          <w:rFonts w:ascii="Calibri" w:hAnsi="Calibri"/>
        </w:rPr>
        <w:t>Fonti</w:t>
      </w:r>
      <w:proofErr w:type="spellEnd"/>
      <w:r>
        <w:rPr>
          <w:rFonts w:ascii="Calibri" w:hAnsi="Calibri"/>
        </w:rPr>
        <w:t>/</w:t>
      </w:r>
      <w:r w:rsidR="00690E40" w:rsidRPr="00DB4CC1">
        <w:rPr>
          <w:rFonts w:ascii="Calibri" w:hAnsi="Calibri"/>
        </w:rPr>
        <w:t>Quellen:</w:t>
      </w:r>
    </w:p>
    <w:p w:rsidR="004F3AD0" w:rsidRPr="0039754F" w:rsidRDefault="004F3AD0" w:rsidP="0039754F">
      <w:pPr>
        <w:pStyle w:val="text"/>
        <w:numPr>
          <w:ilvl w:val="0"/>
          <w:numId w:val="5"/>
        </w:numPr>
        <w:rPr>
          <w:rFonts w:asciiTheme="minorHAnsi" w:hAnsiTheme="minorHAnsi" w:cstheme="minorHAnsi"/>
        </w:rPr>
      </w:pPr>
      <w:r w:rsidRPr="0039754F">
        <w:rPr>
          <w:rFonts w:asciiTheme="minorHAnsi" w:hAnsiTheme="minorHAnsi" w:cstheme="minorHAnsi"/>
        </w:rPr>
        <w:t xml:space="preserve">http://www.provinz.bz.it/arbeit-wirtschaft/genossenschaften/genossenschaften.asp </w:t>
      </w:r>
    </w:p>
    <w:p w:rsidR="00690E40" w:rsidRPr="0039754F" w:rsidRDefault="00A14150" w:rsidP="0039754F">
      <w:pPr>
        <w:pStyle w:val="text"/>
        <w:numPr>
          <w:ilvl w:val="0"/>
          <w:numId w:val="5"/>
        </w:numPr>
        <w:rPr>
          <w:rFonts w:asciiTheme="minorHAnsi" w:hAnsiTheme="minorHAnsi" w:cstheme="minorHAnsi"/>
        </w:rPr>
      </w:pPr>
      <w:hyperlink r:id="rId7" w:history="1">
        <w:r w:rsidR="00690E40" w:rsidRPr="0039754F">
          <w:rPr>
            <w:rFonts w:asciiTheme="minorHAnsi" w:hAnsiTheme="minorHAnsi" w:cstheme="minorHAnsi"/>
          </w:rPr>
          <w:t>http://www.raiffeisenverband.it/genossenschaft/genossenschaften-in-suedtirol.html</w:t>
        </w:r>
      </w:hyperlink>
    </w:p>
    <w:p w:rsidR="00690E40" w:rsidRPr="0039754F" w:rsidRDefault="00A14150" w:rsidP="0039754F">
      <w:pPr>
        <w:pStyle w:val="text"/>
        <w:numPr>
          <w:ilvl w:val="0"/>
          <w:numId w:val="5"/>
        </w:numPr>
        <w:rPr>
          <w:rFonts w:asciiTheme="minorHAnsi" w:hAnsiTheme="minorHAnsi" w:cstheme="minorHAnsi"/>
        </w:rPr>
      </w:pPr>
      <w:hyperlink r:id="rId8" w:history="1">
        <w:r w:rsidR="004F3AD0" w:rsidRPr="0039754F">
          <w:rPr>
            <w:rFonts w:asciiTheme="minorHAnsi" w:hAnsiTheme="minorHAnsi" w:cstheme="minorHAnsi"/>
          </w:rPr>
          <w:t>http://astat.provinz.bz.it/de/suedtirol-in-zahlen.asp</w:t>
        </w:r>
      </w:hyperlink>
    </w:p>
    <w:p w:rsidR="00175FF0" w:rsidRPr="0039754F" w:rsidRDefault="004F3AD0" w:rsidP="0039754F">
      <w:pPr>
        <w:pStyle w:val="text"/>
        <w:numPr>
          <w:ilvl w:val="0"/>
          <w:numId w:val="5"/>
        </w:numPr>
        <w:rPr>
          <w:rFonts w:asciiTheme="minorHAnsi" w:hAnsiTheme="minorHAnsi" w:cstheme="minorHAnsi"/>
        </w:rPr>
      </w:pPr>
      <w:r w:rsidRPr="0039754F">
        <w:rPr>
          <w:rFonts w:asciiTheme="minorHAnsi" w:hAnsiTheme="minorHAnsi" w:cstheme="minorHAnsi"/>
        </w:rPr>
        <w:t>https://www.gv-bayern.de/verband/portraet</w:t>
      </w:r>
    </w:p>
    <w:sectPr w:rsidR="00175FF0" w:rsidRPr="0039754F" w:rsidSect="00C507EE">
      <w:headerReference w:type="default" r:id="rId9"/>
      <w:headerReference w:type="first" r:id="rId10"/>
      <w:footerReference w:type="first" r:id="rId11"/>
      <w:pgSz w:w="11907" w:h="16840" w:code="9"/>
      <w:pgMar w:top="2552" w:right="1134" w:bottom="1418" w:left="1418" w:header="720" w:footer="584" w:gutter="0"/>
      <w:paperSrc w:first="2" w:other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150" w:rsidRDefault="00A14150">
      <w:r>
        <w:separator/>
      </w:r>
    </w:p>
  </w:endnote>
  <w:endnote w:type="continuationSeparator" w:id="0">
    <w:p w:rsidR="00A14150" w:rsidRDefault="00A1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4E9" w:rsidRDefault="008974E9"/>
  <w:p w:rsidR="008974E9" w:rsidRDefault="008974E9"/>
  <w:p w:rsidR="008974E9" w:rsidRDefault="008974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150" w:rsidRDefault="00A14150">
      <w:r>
        <w:separator/>
      </w:r>
    </w:p>
  </w:footnote>
  <w:footnote w:type="continuationSeparator" w:id="0">
    <w:p w:rsidR="00A14150" w:rsidRDefault="00A14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4E9" w:rsidRPr="002E5082" w:rsidRDefault="002E5082" w:rsidP="002E5082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0288" behindDoc="1" locked="0" layoutInCell="1" allowOverlap="1" wp14:anchorId="5AB565BF" wp14:editId="7C0D4559">
          <wp:simplePos x="0" y="0"/>
          <wp:positionH relativeFrom="page">
            <wp:posOffset>19050</wp:posOffset>
          </wp:positionH>
          <wp:positionV relativeFrom="paragraph">
            <wp:posOffset>-320675</wp:posOffset>
          </wp:positionV>
          <wp:extent cx="7567613" cy="1075926"/>
          <wp:effectExtent l="0" t="0" r="0" b="0"/>
          <wp:wrapNone/>
          <wp:docPr id="1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papier_A4-DRUCK-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79" r="-325"/>
                  <a:stretch/>
                </pic:blipFill>
                <pic:spPr bwMode="auto">
                  <a:xfrm>
                    <a:off x="0" y="0"/>
                    <a:ext cx="7567613" cy="10759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4E9" w:rsidRDefault="00E668A0" w:rsidP="00CF7480"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3A27585E" wp14:editId="23BF240E">
          <wp:simplePos x="0" y="0"/>
          <wp:positionH relativeFrom="column">
            <wp:posOffset>-965166</wp:posOffset>
          </wp:positionH>
          <wp:positionV relativeFrom="paragraph">
            <wp:posOffset>-453154</wp:posOffset>
          </wp:positionV>
          <wp:extent cx="7545671" cy="1614316"/>
          <wp:effectExtent l="0" t="0" r="0" b="11430"/>
          <wp:wrapNone/>
          <wp:docPr id="1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papier_A4-DRUCK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351" cy="1621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974E9" w:rsidRDefault="008974E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BD0282"/>
    <w:multiLevelType w:val="hybridMultilevel"/>
    <w:tmpl w:val="EC7E6554"/>
    <w:lvl w:ilvl="0" w:tplc="6F269E8A">
      <w:start w:val="1"/>
      <w:numFmt w:val="bullet"/>
      <w:lvlText w:val=""/>
      <w:lvlJc w:val="left"/>
      <w:pPr>
        <w:tabs>
          <w:tab w:val="num" w:pos="1231"/>
        </w:tabs>
        <w:ind w:left="1135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1"/>
        </w:tabs>
        <w:ind w:left="19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1"/>
        </w:tabs>
        <w:ind w:left="26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1"/>
        </w:tabs>
        <w:ind w:left="33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1"/>
        </w:tabs>
        <w:ind w:left="41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1"/>
        </w:tabs>
        <w:ind w:left="48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1"/>
        </w:tabs>
        <w:ind w:left="55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1"/>
        </w:tabs>
        <w:ind w:left="62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1"/>
        </w:tabs>
        <w:ind w:left="6991" w:hanging="360"/>
      </w:pPr>
      <w:rPr>
        <w:rFonts w:ascii="Wingdings" w:hAnsi="Wingdings" w:hint="default"/>
      </w:rPr>
    </w:lvl>
  </w:abstractNum>
  <w:abstractNum w:abstractNumId="2" w15:restartNumberingAfterBreak="0">
    <w:nsid w:val="518E09EC"/>
    <w:multiLevelType w:val="hybridMultilevel"/>
    <w:tmpl w:val="AFA28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41F01"/>
    <w:multiLevelType w:val="hybridMultilevel"/>
    <w:tmpl w:val="4D0E9226"/>
    <w:lvl w:ilvl="0" w:tplc="53929BFE">
      <w:start w:val="1"/>
      <w:numFmt w:val="decimal"/>
      <w:lvlText w:val="%1."/>
      <w:lvlJc w:val="left"/>
      <w:pPr>
        <w:tabs>
          <w:tab w:val="num" w:pos="964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  <w:sz w:val="28"/>
        </w:rPr>
      </w:lvl>
    </w:lvlOverride>
  </w:num>
  <w:num w:numId="2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134" w:hanging="283"/>
        </w:pPr>
        <w:rPr>
          <w:rFonts w:ascii="Monotype Sorts" w:hAnsi="Monotype Sorts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80"/>
    <w:rsid w:val="000322D1"/>
    <w:rsid w:val="000344AA"/>
    <w:rsid w:val="000418D2"/>
    <w:rsid w:val="00066AA8"/>
    <w:rsid w:val="000C15D3"/>
    <w:rsid w:val="000D4B47"/>
    <w:rsid w:val="000E1AAF"/>
    <w:rsid w:val="00112265"/>
    <w:rsid w:val="0011537C"/>
    <w:rsid w:val="00175FF0"/>
    <w:rsid w:val="00190BC1"/>
    <w:rsid w:val="001A44BE"/>
    <w:rsid w:val="001A592D"/>
    <w:rsid w:val="001B48E8"/>
    <w:rsid w:val="001D63D0"/>
    <w:rsid w:val="001E4862"/>
    <w:rsid w:val="002109D4"/>
    <w:rsid w:val="00231BF8"/>
    <w:rsid w:val="00232E79"/>
    <w:rsid w:val="00241715"/>
    <w:rsid w:val="002445A7"/>
    <w:rsid w:val="002B0205"/>
    <w:rsid w:val="002B3E51"/>
    <w:rsid w:val="002C36BF"/>
    <w:rsid w:val="002C4C25"/>
    <w:rsid w:val="002E5082"/>
    <w:rsid w:val="003102CF"/>
    <w:rsid w:val="003119FF"/>
    <w:rsid w:val="00323DFB"/>
    <w:rsid w:val="00324523"/>
    <w:rsid w:val="00340952"/>
    <w:rsid w:val="00353AC8"/>
    <w:rsid w:val="003816CE"/>
    <w:rsid w:val="0039754F"/>
    <w:rsid w:val="003B07DB"/>
    <w:rsid w:val="003B3493"/>
    <w:rsid w:val="003E5F43"/>
    <w:rsid w:val="00404FF0"/>
    <w:rsid w:val="004A3133"/>
    <w:rsid w:val="004A6CDD"/>
    <w:rsid w:val="004F3AD0"/>
    <w:rsid w:val="005069ED"/>
    <w:rsid w:val="00521187"/>
    <w:rsid w:val="00532FC6"/>
    <w:rsid w:val="00546A9E"/>
    <w:rsid w:val="00567BB3"/>
    <w:rsid w:val="00567DA4"/>
    <w:rsid w:val="005A334A"/>
    <w:rsid w:val="005C402B"/>
    <w:rsid w:val="005C6A49"/>
    <w:rsid w:val="005D2841"/>
    <w:rsid w:val="005E4DEA"/>
    <w:rsid w:val="005F155A"/>
    <w:rsid w:val="00601A04"/>
    <w:rsid w:val="00605B78"/>
    <w:rsid w:val="006307A4"/>
    <w:rsid w:val="00637D19"/>
    <w:rsid w:val="00645492"/>
    <w:rsid w:val="00653D4C"/>
    <w:rsid w:val="00655E14"/>
    <w:rsid w:val="00666E16"/>
    <w:rsid w:val="006752E9"/>
    <w:rsid w:val="0067706C"/>
    <w:rsid w:val="00690E40"/>
    <w:rsid w:val="00696C74"/>
    <w:rsid w:val="006B424F"/>
    <w:rsid w:val="006D72E7"/>
    <w:rsid w:val="00724258"/>
    <w:rsid w:val="0073130F"/>
    <w:rsid w:val="0076349A"/>
    <w:rsid w:val="00787D2E"/>
    <w:rsid w:val="007A103C"/>
    <w:rsid w:val="007A508C"/>
    <w:rsid w:val="007B0A3A"/>
    <w:rsid w:val="007C501B"/>
    <w:rsid w:val="00812113"/>
    <w:rsid w:val="00815777"/>
    <w:rsid w:val="00823318"/>
    <w:rsid w:val="008261D3"/>
    <w:rsid w:val="00856BF2"/>
    <w:rsid w:val="00883947"/>
    <w:rsid w:val="00886C4A"/>
    <w:rsid w:val="008974E9"/>
    <w:rsid w:val="008E739E"/>
    <w:rsid w:val="009077D6"/>
    <w:rsid w:val="00934486"/>
    <w:rsid w:val="00952371"/>
    <w:rsid w:val="00953A16"/>
    <w:rsid w:val="00963E9E"/>
    <w:rsid w:val="00987B8F"/>
    <w:rsid w:val="009947F1"/>
    <w:rsid w:val="0099485D"/>
    <w:rsid w:val="009E67DC"/>
    <w:rsid w:val="00A14150"/>
    <w:rsid w:val="00A15818"/>
    <w:rsid w:val="00A1669E"/>
    <w:rsid w:val="00A24BA4"/>
    <w:rsid w:val="00AA60F2"/>
    <w:rsid w:val="00AB15C1"/>
    <w:rsid w:val="00B34E3D"/>
    <w:rsid w:val="00B64856"/>
    <w:rsid w:val="00B70A28"/>
    <w:rsid w:val="00B838E2"/>
    <w:rsid w:val="00BB10C8"/>
    <w:rsid w:val="00BC7A37"/>
    <w:rsid w:val="00BD0B27"/>
    <w:rsid w:val="00C507EE"/>
    <w:rsid w:val="00C620B8"/>
    <w:rsid w:val="00CA30EA"/>
    <w:rsid w:val="00CB3102"/>
    <w:rsid w:val="00CF7480"/>
    <w:rsid w:val="00D93551"/>
    <w:rsid w:val="00DB4CC1"/>
    <w:rsid w:val="00DF6B24"/>
    <w:rsid w:val="00DF700C"/>
    <w:rsid w:val="00E15401"/>
    <w:rsid w:val="00E22D0E"/>
    <w:rsid w:val="00E50C2D"/>
    <w:rsid w:val="00E6325B"/>
    <w:rsid w:val="00E668A0"/>
    <w:rsid w:val="00EC232E"/>
    <w:rsid w:val="00ED5B8C"/>
    <w:rsid w:val="00EF6733"/>
    <w:rsid w:val="00F01FED"/>
    <w:rsid w:val="00F030B8"/>
    <w:rsid w:val="00F044A2"/>
    <w:rsid w:val="00F228AC"/>
    <w:rsid w:val="00F30527"/>
    <w:rsid w:val="00F652A8"/>
    <w:rsid w:val="00F83D3A"/>
    <w:rsid w:val="00FD0644"/>
    <w:rsid w:val="00FE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E606D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Univers" w:hAnsi="Univers"/>
      <w:lang w:eastAsia="en-US"/>
    </w:rPr>
  </w:style>
  <w:style w:type="paragraph" w:styleId="Titolo1">
    <w:name w:val="heading 1"/>
    <w:basedOn w:val="Normale"/>
    <w:next w:val="Normale"/>
    <w:qFormat/>
    <w:pPr>
      <w:keepNext/>
      <w:keepLines/>
      <w:tabs>
        <w:tab w:val="left" w:pos="851"/>
      </w:tabs>
      <w:spacing w:before="200"/>
      <w:outlineLvl w:val="0"/>
    </w:pPr>
    <w:rPr>
      <w:b/>
      <w:color w:val="0000FF"/>
      <w:sz w:val="24"/>
    </w:rPr>
  </w:style>
  <w:style w:type="paragraph" w:styleId="Titolo2">
    <w:name w:val="heading 2"/>
    <w:basedOn w:val="Titolo1"/>
    <w:next w:val="Normale"/>
    <w:qFormat/>
    <w:pPr>
      <w:outlineLvl w:val="1"/>
    </w:pPr>
    <w:rPr>
      <w:b w:val="0"/>
      <w:color w:val="800000"/>
    </w:rPr>
  </w:style>
  <w:style w:type="paragraph" w:styleId="Titolo3">
    <w:name w:val="heading 3"/>
    <w:basedOn w:val="Titolo2"/>
    <w:next w:val="Normale"/>
    <w:qFormat/>
    <w:pPr>
      <w:outlineLvl w:val="2"/>
    </w:pPr>
    <w:rPr>
      <w:color w:val="000080"/>
    </w:rPr>
  </w:style>
  <w:style w:type="paragraph" w:styleId="Titolo4">
    <w:name w:val="heading 4"/>
    <w:basedOn w:val="Titolo2"/>
    <w:next w:val="Normale"/>
    <w:qFormat/>
    <w:pPr>
      <w:outlineLvl w:val="3"/>
    </w:pPr>
    <w:rPr>
      <w:color w:val="808000"/>
    </w:rPr>
  </w:style>
  <w:style w:type="paragraph" w:styleId="Titolo5">
    <w:name w:val="heading 5"/>
    <w:basedOn w:val="Titolo2"/>
    <w:next w:val="Normale"/>
    <w:qFormat/>
    <w:pPr>
      <w:outlineLvl w:val="4"/>
    </w:pPr>
    <w:rPr>
      <w:color w:val="000000"/>
    </w:rPr>
  </w:style>
  <w:style w:type="paragraph" w:styleId="Titolo6">
    <w:name w:val="heading 6"/>
    <w:basedOn w:val="Titolo5"/>
    <w:next w:val="Normale"/>
    <w:qFormat/>
    <w:pPr>
      <w:outlineLvl w:val="5"/>
    </w:pPr>
  </w:style>
  <w:style w:type="paragraph" w:styleId="Titolo7">
    <w:name w:val="heading 7"/>
    <w:basedOn w:val="Titolo5"/>
    <w:next w:val="Normale"/>
    <w:qFormat/>
    <w:pPr>
      <w:keepLines w:val="0"/>
      <w:tabs>
        <w:tab w:val="clear" w:pos="851"/>
      </w:tabs>
      <w:spacing w:before="480"/>
      <w:outlineLvl w:val="6"/>
    </w:pPr>
  </w:style>
  <w:style w:type="paragraph" w:styleId="Titolo8">
    <w:name w:val="heading 8"/>
    <w:basedOn w:val="Titolo5"/>
    <w:next w:val="Normale"/>
    <w:qFormat/>
    <w:pPr>
      <w:keepLines w:val="0"/>
      <w:tabs>
        <w:tab w:val="clear" w:pos="851"/>
      </w:tabs>
      <w:spacing w:before="480"/>
      <w:outlineLvl w:val="7"/>
    </w:pPr>
  </w:style>
  <w:style w:type="paragraph" w:styleId="Titolo9">
    <w:name w:val="heading 9"/>
    <w:basedOn w:val="Titolo5"/>
    <w:next w:val="Normale"/>
    <w:qFormat/>
    <w:pPr>
      <w:keepLines w:val="0"/>
      <w:tabs>
        <w:tab w:val="clear" w:pos="851"/>
        <w:tab w:val="left" w:pos="360"/>
      </w:tabs>
      <w:spacing w:before="48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paragraph" w:customStyle="1" w:styleId="KOPFFUSS10">
    <w:name w:val="KOPF/FUSS 10"/>
    <w:rPr>
      <w:rFonts w:ascii="Helvetica" w:hAnsi="Helvetica"/>
      <w:lang w:eastAsia="en-US"/>
    </w:rPr>
  </w:style>
  <w:style w:type="paragraph" w:customStyle="1" w:styleId="text">
    <w:name w:val="text"/>
    <w:basedOn w:val="Normale"/>
    <w:pPr>
      <w:keepLines/>
      <w:spacing w:before="240"/>
      <w:ind w:left="567"/>
      <w:jc w:val="both"/>
    </w:pPr>
    <w:rPr>
      <w:rFonts w:ascii="Times New Roman" w:hAnsi="Times New Roman"/>
      <w:sz w:val="22"/>
    </w:rPr>
  </w:style>
  <w:style w:type="paragraph" w:customStyle="1" w:styleId="Punkteliste">
    <w:name w:val="Punkteliste"/>
    <w:basedOn w:val="text"/>
    <w:pPr>
      <w:spacing w:before="0"/>
      <w:ind w:left="850" w:hanging="283"/>
      <w:jc w:val="left"/>
    </w:pPr>
  </w:style>
  <w:style w:type="paragraph" w:styleId="Sommario2">
    <w:name w:val="toc 2"/>
    <w:basedOn w:val="Normale"/>
    <w:next w:val="Normale"/>
    <w:semiHidden/>
    <w:pPr>
      <w:tabs>
        <w:tab w:val="right" w:leader="dot" w:pos="9355"/>
      </w:tabs>
      <w:ind w:left="200"/>
    </w:pPr>
  </w:style>
  <w:style w:type="paragraph" w:styleId="Sommario1">
    <w:name w:val="toc 1"/>
    <w:basedOn w:val="Normale"/>
    <w:next w:val="Normale"/>
    <w:semiHidden/>
    <w:pPr>
      <w:tabs>
        <w:tab w:val="right" w:leader="dot" w:pos="9355"/>
      </w:tabs>
    </w:pPr>
  </w:style>
  <w:style w:type="paragraph" w:styleId="Sommario3">
    <w:name w:val="toc 3"/>
    <w:basedOn w:val="Normale"/>
    <w:next w:val="Normale"/>
    <w:semiHidden/>
    <w:pPr>
      <w:tabs>
        <w:tab w:val="right" w:leader="dot" w:pos="9355"/>
      </w:tabs>
      <w:ind w:left="400"/>
    </w:pPr>
  </w:style>
  <w:style w:type="paragraph" w:styleId="Sommario4">
    <w:name w:val="toc 4"/>
    <w:basedOn w:val="Normale"/>
    <w:next w:val="Normale"/>
    <w:semiHidden/>
    <w:pPr>
      <w:tabs>
        <w:tab w:val="right" w:leader="dot" w:pos="9355"/>
      </w:tabs>
      <w:ind w:left="600"/>
    </w:pPr>
  </w:style>
  <w:style w:type="paragraph" w:styleId="Sommario5">
    <w:name w:val="toc 5"/>
    <w:basedOn w:val="Normale"/>
    <w:next w:val="Normale"/>
    <w:semiHidden/>
    <w:pPr>
      <w:tabs>
        <w:tab w:val="right" w:leader="dot" w:pos="9355"/>
      </w:tabs>
      <w:ind w:left="800"/>
    </w:pPr>
  </w:style>
  <w:style w:type="paragraph" w:styleId="Sommario6">
    <w:name w:val="toc 6"/>
    <w:basedOn w:val="Normale"/>
    <w:next w:val="Normale"/>
    <w:semiHidden/>
    <w:pPr>
      <w:tabs>
        <w:tab w:val="right" w:leader="dot" w:pos="9355"/>
      </w:tabs>
      <w:ind w:left="1000"/>
    </w:pPr>
  </w:style>
  <w:style w:type="paragraph" w:styleId="Sommario7">
    <w:name w:val="toc 7"/>
    <w:basedOn w:val="Normale"/>
    <w:next w:val="Normale"/>
    <w:semiHidden/>
    <w:pPr>
      <w:tabs>
        <w:tab w:val="right" w:leader="dot" w:pos="9355"/>
      </w:tabs>
      <w:ind w:left="1200"/>
    </w:pPr>
  </w:style>
  <w:style w:type="paragraph" w:styleId="Sommario8">
    <w:name w:val="toc 8"/>
    <w:basedOn w:val="Normale"/>
    <w:next w:val="Normale"/>
    <w:semiHidden/>
    <w:pPr>
      <w:tabs>
        <w:tab w:val="right" w:leader="dot" w:pos="9355"/>
      </w:tabs>
      <w:ind w:left="1400"/>
    </w:pPr>
  </w:style>
  <w:style w:type="paragraph" w:styleId="Sommario9">
    <w:name w:val="toc 9"/>
    <w:basedOn w:val="Normale"/>
    <w:next w:val="Normale"/>
    <w:semiHidden/>
    <w:pPr>
      <w:tabs>
        <w:tab w:val="right" w:leader="dot" w:pos="9355"/>
      </w:tabs>
      <w:ind w:left="1600"/>
    </w:pPr>
  </w:style>
  <w:style w:type="table" w:styleId="Grigliatabella">
    <w:name w:val="Table Grid"/>
    <w:basedOn w:val="Tabellanormale"/>
    <w:rsid w:val="00CA3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620B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D0B27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C6A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C6A49"/>
    <w:rPr>
      <w:rFonts w:ascii="Courier New" w:hAnsi="Courier New" w:cs="Courier New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tat.provinz.bz.it/de/suedtirol-in-zahlen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iffeisenverband.it/genossenschaft/genossenschaften-in-suedtiro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Fragebogen</vt:lpstr>
      <vt:lpstr>Fragebogen</vt:lpstr>
    </vt:vector>
  </TitlesOfParts>
  <Company>Europäische Akademie Bozen</Company>
  <LinksUpToDate>false</LinksUpToDate>
  <CharactersWithSpaces>4704</CharactersWithSpaces>
  <SharedDoc>false</SharedDoc>
  <HLinks>
    <vt:vector size="6" baseType="variant">
      <vt:variant>
        <vt:i4>3604549</vt:i4>
      </vt:variant>
      <vt:variant>
        <vt:i4>14466</vt:i4>
      </vt:variant>
      <vt:variant>
        <vt:i4>1025</vt:i4>
      </vt:variant>
      <vt:variant>
        <vt:i4>1</vt:i4>
      </vt:variant>
      <vt:variant>
        <vt:lpwstr>E-logo-CMYK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>Ferialpraxis</dc:subject>
  <dc:creator>GIsetti</dc:creator>
  <cp:keywords/>
  <dc:description/>
  <cp:lastModifiedBy>GIsetti</cp:lastModifiedBy>
  <cp:revision>82</cp:revision>
  <cp:lastPrinted>2017-04-19T13:25:00Z</cp:lastPrinted>
  <dcterms:created xsi:type="dcterms:W3CDTF">2017-04-18T08:32:00Z</dcterms:created>
  <dcterms:modified xsi:type="dcterms:W3CDTF">2017-04-20T11:27:00Z</dcterms:modified>
</cp:coreProperties>
</file>