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256" w:rsidRPr="00A157B2" w:rsidRDefault="001A0256" w:rsidP="001A0256">
      <w:pPr>
        <w:tabs>
          <w:tab w:val="left" w:pos="1503"/>
        </w:tabs>
        <w:spacing w:after="150"/>
        <w:jc w:val="center"/>
        <w:outlineLvl w:val="1"/>
        <w:rPr>
          <w:rFonts w:ascii="Open Sans" w:hAnsi="Open Sans" w:cs="Arial"/>
          <w:b/>
          <w:color w:val="000000"/>
          <w:sz w:val="30"/>
          <w:szCs w:val="30"/>
          <w:lang w:val="it-IT" w:eastAsia="de-DE"/>
        </w:rPr>
      </w:pPr>
      <w:r w:rsidRPr="006257DE">
        <w:rPr>
          <w:rFonts w:ascii="Open Sans" w:hAnsi="Open Sans" w:cs="Arial"/>
          <w:b/>
          <w:color w:val="000000"/>
          <w:sz w:val="30"/>
          <w:szCs w:val="30"/>
          <w:highlight w:val="yellow"/>
          <w:lang w:val="it-IT" w:eastAsia="de-DE"/>
        </w:rPr>
        <w:t>GIORNATA DELLE PORTE APERTE</w:t>
      </w:r>
    </w:p>
    <w:p w:rsidR="001A0256" w:rsidRPr="00A157B2" w:rsidRDefault="001A0256" w:rsidP="001A0256">
      <w:pPr>
        <w:tabs>
          <w:tab w:val="left" w:pos="1503"/>
        </w:tabs>
        <w:spacing w:after="150"/>
        <w:jc w:val="center"/>
        <w:outlineLvl w:val="1"/>
        <w:rPr>
          <w:rFonts w:ascii="Open Sans" w:hAnsi="Open Sans" w:cs="Arial"/>
          <w:b/>
          <w:color w:val="000000"/>
          <w:sz w:val="30"/>
          <w:szCs w:val="30"/>
          <w:lang w:val="it-IT" w:eastAsia="de-DE"/>
        </w:rPr>
      </w:pPr>
      <w:r w:rsidRPr="00A157B2">
        <w:rPr>
          <w:rFonts w:ascii="Open Sans" w:hAnsi="Open Sans" w:cs="Arial"/>
          <w:b/>
          <w:color w:val="000000"/>
          <w:sz w:val="30"/>
          <w:szCs w:val="30"/>
          <w:lang w:val="it-IT" w:eastAsia="de-DE"/>
        </w:rPr>
        <w:t>NELLA RIPARTIZIONE 41</w:t>
      </w:r>
    </w:p>
    <w:p w:rsidR="001A0256" w:rsidRPr="00A157B2" w:rsidRDefault="001A0256" w:rsidP="001A0256">
      <w:pPr>
        <w:tabs>
          <w:tab w:val="left" w:pos="1503"/>
        </w:tabs>
        <w:spacing w:after="150"/>
        <w:jc w:val="center"/>
        <w:outlineLvl w:val="1"/>
        <w:rPr>
          <w:rFonts w:ascii="Open Sans" w:hAnsi="Open Sans" w:cs="Arial"/>
          <w:b/>
          <w:color w:val="000000"/>
          <w:sz w:val="30"/>
          <w:szCs w:val="30"/>
          <w:lang w:val="it-IT" w:eastAsia="de-DE"/>
        </w:rPr>
      </w:pPr>
      <w:r>
        <w:rPr>
          <w:rFonts w:ascii="Open Sans" w:hAnsi="Open Sans" w:cs="Arial"/>
          <w:b/>
          <w:color w:val="000000"/>
          <w:sz w:val="30"/>
          <w:szCs w:val="30"/>
          <w:lang w:val="it-IT" w:eastAsia="de-DE"/>
        </w:rPr>
        <w:t>LIBRO FONDIARIO E CATASTO A BOLZANO</w:t>
      </w:r>
    </w:p>
    <w:p w:rsidR="001A0256" w:rsidRPr="009578C7" w:rsidRDefault="001A0256" w:rsidP="001A0256">
      <w:pPr>
        <w:tabs>
          <w:tab w:val="left" w:pos="1503"/>
        </w:tabs>
        <w:jc w:val="both"/>
        <w:outlineLvl w:val="1"/>
        <w:rPr>
          <w:rFonts w:ascii="Arial" w:hAnsi="Arial" w:cs="Arial"/>
          <w:b/>
          <w:color w:val="000000"/>
          <w:sz w:val="21"/>
          <w:szCs w:val="21"/>
          <w:lang w:val="it-IT" w:eastAsia="de-DE"/>
        </w:rPr>
      </w:pPr>
      <w:r w:rsidRPr="009578C7">
        <w:rPr>
          <w:rFonts w:ascii="Arial" w:hAnsi="Arial" w:cs="Arial"/>
          <w:b/>
          <w:color w:val="000000"/>
          <w:sz w:val="21"/>
          <w:szCs w:val="21"/>
          <w:lang w:val="it-IT" w:eastAsia="de-DE"/>
        </w:rPr>
        <w:t>Gli uffici del Libro fondiario e del Catasto di Bolzano</w:t>
      </w:r>
      <w:r>
        <w:rPr>
          <w:rFonts w:ascii="Arial" w:hAnsi="Arial" w:cs="Arial"/>
          <w:b/>
          <w:color w:val="000000"/>
          <w:sz w:val="21"/>
          <w:szCs w:val="21"/>
          <w:lang w:val="it-IT" w:eastAsia="de-DE"/>
        </w:rPr>
        <w:t>, in rappresentanza di tutti gli uffici del Libro fondiario e del Catasto della Provincia,</w:t>
      </w:r>
      <w:r w:rsidRPr="009578C7">
        <w:rPr>
          <w:rFonts w:ascii="Arial" w:hAnsi="Arial" w:cs="Arial"/>
          <w:b/>
          <w:color w:val="000000"/>
          <w:sz w:val="21"/>
          <w:szCs w:val="21"/>
          <w:lang w:val="it-IT" w:eastAsia="de-DE"/>
        </w:rPr>
        <w:t xml:space="preserve"> aprono al pubblico </w:t>
      </w:r>
      <w:r w:rsidRPr="006257DE">
        <w:rPr>
          <w:rFonts w:ascii="Arial" w:hAnsi="Arial" w:cs="Arial"/>
          <w:b/>
          <w:color w:val="000000"/>
          <w:sz w:val="21"/>
          <w:szCs w:val="21"/>
          <w:highlight w:val="yellow"/>
          <w:lang w:val="it-IT" w:eastAsia="de-DE"/>
        </w:rPr>
        <w:t>il 25 ottobre</w:t>
      </w:r>
      <w:r w:rsidRPr="009578C7">
        <w:rPr>
          <w:rFonts w:ascii="Arial" w:hAnsi="Arial" w:cs="Arial"/>
          <w:b/>
          <w:color w:val="000000"/>
          <w:sz w:val="21"/>
          <w:szCs w:val="21"/>
          <w:lang w:val="it-IT" w:eastAsia="de-DE"/>
        </w:rPr>
        <w:t>, dalle ore 08.30 alle ore 17.00, per dare piena visione di tutti gli aspetti della loro attività.</w:t>
      </w:r>
    </w:p>
    <w:p w:rsidR="001A0256" w:rsidRPr="009578C7" w:rsidRDefault="001A0256" w:rsidP="001A0256">
      <w:pPr>
        <w:tabs>
          <w:tab w:val="left" w:pos="1503"/>
        </w:tabs>
        <w:jc w:val="both"/>
        <w:outlineLvl w:val="1"/>
        <w:rPr>
          <w:rFonts w:ascii="Arial" w:hAnsi="Arial" w:cs="Arial"/>
          <w:b/>
          <w:color w:val="000000"/>
          <w:sz w:val="21"/>
          <w:szCs w:val="21"/>
          <w:lang w:val="it-IT" w:eastAsia="de-DE"/>
        </w:rPr>
      </w:pPr>
    </w:p>
    <w:p w:rsidR="001A0256" w:rsidRPr="009578C7" w:rsidRDefault="001A0256" w:rsidP="001A0256">
      <w:pPr>
        <w:tabs>
          <w:tab w:val="left" w:pos="1503"/>
        </w:tabs>
        <w:jc w:val="both"/>
        <w:outlineLvl w:val="1"/>
        <w:rPr>
          <w:rFonts w:ascii="Arial" w:hAnsi="Arial" w:cs="Arial"/>
          <w:b/>
          <w:color w:val="000000"/>
          <w:sz w:val="21"/>
          <w:szCs w:val="21"/>
          <w:lang w:val="it-IT" w:eastAsia="de-DE"/>
        </w:rPr>
      </w:pPr>
      <w:r w:rsidRPr="009578C7">
        <w:rPr>
          <w:rFonts w:ascii="Arial" w:hAnsi="Arial" w:cs="Arial"/>
          <w:b/>
          <w:color w:val="000000"/>
          <w:sz w:val="21"/>
          <w:szCs w:val="21"/>
          <w:lang w:val="it-IT" w:eastAsia="de-DE"/>
        </w:rPr>
        <w:t>La “</w:t>
      </w:r>
      <w:r w:rsidRPr="009578C7">
        <w:rPr>
          <w:rFonts w:ascii="Arial" w:hAnsi="Arial" w:cs="Arial"/>
          <w:b/>
          <w:i/>
          <w:color w:val="000000"/>
          <w:sz w:val="21"/>
          <w:szCs w:val="21"/>
          <w:lang w:val="it-IT" w:eastAsia="de-DE"/>
        </w:rPr>
        <w:t>Giornata delle porte aperte</w:t>
      </w:r>
      <w:r w:rsidRPr="009578C7">
        <w:rPr>
          <w:rFonts w:ascii="Arial" w:hAnsi="Arial" w:cs="Arial"/>
          <w:b/>
          <w:color w:val="000000"/>
          <w:sz w:val="21"/>
          <w:szCs w:val="21"/>
          <w:lang w:val="it-IT" w:eastAsia="de-DE"/>
        </w:rPr>
        <w:t>” intende offrire una visione d’insieme dell’attività svolta da questi due uffici. Il visitatore può scoprire:</w:t>
      </w:r>
    </w:p>
    <w:p w:rsidR="001A0256" w:rsidRPr="009578C7" w:rsidRDefault="001A0256" w:rsidP="001A0256">
      <w:pPr>
        <w:tabs>
          <w:tab w:val="left" w:pos="1503"/>
        </w:tabs>
        <w:jc w:val="both"/>
        <w:outlineLvl w:val="1"/>
        <w:rPr>
          <w:rFonts w:ascii="Arial" w:hAnsi="Arial" w:cs="Arial"/>
          <w:b/>
          <w:color w:val="000000"/>
          <w:sz w:val="21"/>
          <w:szCs w:val="21"/>
          <w:lang w:val="it-IT" w:eastAsia="de-DE"/>
        </w:rPr>
      </w:pPr>
    </w:p>
    <w:p w:rsidR="001A0256" w:rsidRPr="009578C7" w:rsidRDefault="001A0256" w:rsidP="001A0256">
      <w:pPr>
        <w:pStyle w:val="Paragrafoelenco"/>
        <w:numPr>
          <w:ilvl w:val="0"/>
          <w:numId w:val="1"/>
        </w:numPr>
        <w:tabs>
          <w:tab w:val="left" w:pos="357"/>
        </w:tabs>
        <w:spacing w:after="0"/>
        <w:ind w:left="357" w:hanging="357"/>
        <w:jc w:val="both"/>
        <w:outlineLvl w:val="1"/>
        <w:rPr>
          <w:rFonts w:ascii="Arial" w:hAnsi="Arial" w:cs="Arial"/>
          <w:b/>
          <w:color w:val="000000"/>
          <w:sz w:val="21"/>
          <w:szCs w:val="21"/>
          <w:lang w:eastAsia="de-DE"/>
        </w:rPr>
      </w:pPr>
      <w:r w:rsidRPr="009578C7">
        <w:rPr>
          <w:rFonts w:ascii="Arial" w:hAnsi="Arial" w:cs="Arial"/>
          <w:b/>
          <w:color w:val="000000"/>
          <w:sz w:val="21"/>
          <w:szCs w:val="21"/>
          <w:lang w:eastAsia="de-DE"/>
        </w:rPr>
        <w:t>le carte catastali nel corso nel corso del tempo: mediante esibizione di documentazione fiscale precedente al Catasto (il catasto steurale), esperti dell’archivio provinciale illustrano i predecessori del Catasto. L’esposizione di strumenti di misurazione storici, provenienti dall’”</w:t>
      </w:r>
      <w:r w:rsidRPr="009578C7">
        <w:rPr>
          <w:rFonts w:ascii="Arial" w:hAnsi="Arial" w:cs="Arial"/>
          <w:b/>
          <w:i/>
          <w:color w:val="000000"/>
          <w:sz w:val="21"/>
          <w:szCs w:val="21"/>
          <w:lang w:eastAsia="de-DE"/>
        </w:rPr>
        <w:t>Esposizione storica del Libro fondiario e Catasto</w:t>
      </w:r>
      <w:r w:rsidRPr="009578C7">
        <w:rPr>
          <w:rFonts w:ascii="Arial" w:hAnsi="Arial" w:cs="Arial"/>
          <w:b/>
          <w:color w:val="000000"/>
          <w:sz w:val="21"/>
          <w:szCs w:val="21"/>
          <w:lang w:eastAsia="de-DE"/>
        </w:rPr>
        <w:t xml:space="preserve">” di Trento, contrapposti alla strumentazione moderna dà un’idea del lavoro svolto dalle mappe storiche d’impianto fino all’attuale sistema di informazione geografico. Infine, una mostra di mobili storici, presenti negli uffici dell’epoca, illustra le condizioni di lavoro di allora. </w:t>
      </w:r>
    </w:p>
    <w:p w:rsidR="001A0256" w:rsidRPr="009578C7" w:rsidRDefault="001A0256" w:rsidP="001A0256">
      <w:pPr>
        <w:pStyle w:val="Paragrafoelenco"/>
        <w:tabs>
          <w:tab w:val="left" w:pos="357"/>
        </w:tabs>
        <w:spacing w:after="0"/>
        <w:ind w:left="357"/>
        <w:jc w:val="both"/>
        <w:outlineLvl w:val="1"/>
        <w:rPr>
          <w:rFonts w:ascii="Arial" w:hAnsi="Arial" w:cs="Arial"/>
          <w:b/>
          <w:color w:val="000000"/>
          <w:sz w:val="21"/>
          <w:szCs w:val="21"/>
          <w:lang w:eastAsia="de-DE"/>
        </w:rPr>
      </w:pPr>
    </w:p>
    <w:p w:rsidR="001A0256" w:rsidRPr="009578C7" w:rsidRDefault="001A0256" w:rsidP="001A0256">
      <w:pPr>
        <w:pStyle w:val="Paragrafoelenco"/>
        <w:numPr>
          <w:ilvl w:val="0"/>
          <w:numId w:val="1"/>
        </w:numPr>
        <w:tabs>
          <w:tab w:val="left" w:pos="357"/>
        </w:tabs>
        <w:spacing w:after="0"/>
        <w:ind w:left="357" w:hanging="357"/>
        <w:jc w:val="both"/>
        <w:outlineLvl w:val="1"/>
        <w:rPr>
          <w:rFonts w:ascii="Arial" w:hAnsi="Arial" w:cs="Arial"/>
          <w:b/>
          <w:color w:val="000000"/>
          <w:sz w:val="21"/>
          <w:szCs w:val="21"/>
          <w:lang w:eastAsia="de-DE"/>
        </w:rPr>
      </w:pPr>
      <w:r w:rsidRPr="009578C7">
        <w:rPr>
          <w:rFonts w:ascii="Arial" w:hAnsi="Arial" w:cs="Arial"/>
          <w:b/>
          <w:color w:val="000000"/>
          <w:sz w:val="21"/>
          <w:szCs w:val="21"/>
          <w:lang w:eastAsia="de-DE"/>
        </w:rPr>
        <w:t>dal Libro di insinuazione o di archiviazione al Libro fondiario digitale: esperti dell’archivio provinciale illustrano i predecessori del Libro fondiario; collaboratori del Libro fondiario illustrano i metodi di lavoro con i vecchi libri maestri e nell’attuale libro fondiario digitale. Infine, anche per il Libro fondiario una mostra di mobili storici, presenti negli uffici dell’epoca, illustra le condizioni di lavoro di allora.</w:t>
      </w:r>
    </w:p>
    <w:p w:rsidR="001A0256" w:rsidRPr="009578C7" w:rsidRDefault="001A0256" w:rsidP="001A0256">
      <w:pPr>
        <w:pStyle w:val="Paragrafoelenco"/>
        <w:tabs>
          <w:tab w:val="left" w:pos="357"/>
        </w:tabs>
        <w:spacing w:after="0"/>
        <w:ind w:left="357"/>
        <w:jc w:val="both"/>
        <w:outlineLvl w:val="1"/>
        <w:rPr>
          <w:rFonts w:ascii="Arial" w:hAnsi="Arial" w:cs="Arial"/>
          <w:b/>
          <w:color w:val="000000"/>
          <w:sz w:val="21"/>
          <w:szCs w:val="21"/>
          <w:lang w:eastAsia="de-DE"/>
        </w:rPr>
      </w:pPr>
    </w:p>
    <w:p w:rsidR="001A0256" w:rsidRPr="009578C7" w:rsidRDefault="001A0256" w:rsidP="001A0256">
      <w:pPr>
        <w:pStyle w:val="Paragrafoelenco"/>
        <w:numPr>
          <w:ilvl w:val="0"/>
          <w:numId w:val="1"/>
        </w:numPr>
        <w:tabs>
          <w:tab w:val="left" w:pos="357"/>
        </w:tabs>
        <w:spacing w:after="0"/>
        <w:ind w:left="357" w:hanging="357"/>
        <w:jc w:val="both"/>
        <w:outlineLvl w:val="1"/>
        <w:rPr>
          <w:rFonts w:ascii="Arial" w:hAnsi="Arial" w:cs="Arial"/>
          <w:b/>
          <w:color w:val="000000"/>
          <w:sz w:val="21"/>
          <w:szCs w:val="21"/>
          <w:lang w:eastAsia="de-DE"/>
        </w:rPr>
      </w:pPr>
      <w:r w:rsidRPr="009578C7">
        <w:rPr>
          <w:rFonts w:ascii="Arial" w:hAnsi="Arial" w:cs="Arial"/>
          <w:b/>
          <w:color w:val="000000"/>
          <w:sz w:val="21"/>
          <w:szCs w:val="21"/>
          <w:lang w:eastAsia="de-DE"/>
        </w:rPr>
        <w:t>Visite guidate in lingua tedesca (inizio visita alle ore 09.00 ed alle ore 14.00) ed in lingua italiana (inizio visita alle ore 11.30 ed alle ore 15.00) (è gradita la prenotazione).</w:t>
      </w:r>
    </w:p>
    <w:p w:rsidR="001A0256" w:rsidRPr="009578C7" w:rsidRDefault="001A0256" w:rsidP="001A0256">
      <w:pPr>
        <w:pStyle w:val="Paragrafoelenco"/>
        <w:rPr>
          <w:rFonts w:ascii="Arial" w:hAnsi="Arial" w:cs="Arial"/>
          <w:b/>
          <w:color w:val="000000"/>
          <w:sz w:val="21"/>
          <w:szCs w:val="21"/>
          <w:lang w:eastAsia="de-DE"/>
        </w:rPr>
      </w:pPr>
    </w:p>
    <w:p w:rsidR="001A0256" w:rsidRPr="009578C7" w:rsidRDefault="001A0256" w:rsidP="001A0256">
      <w:pPr>
        <w:pStyle w:val="Paragrafoelenco"/>
        <w:numPr>
          <w:ilvl w:val="0"/>
          <w:numId w:val="1"/>
        </w:numPr>
        <w:tabs>
          <w:tab w:val="left" w:pos="357"/>
        </w:tabs>
        <w:spacing w:after="0"/>
        <w:ind w:left="357" w:hanging="357"/>
        <w:jc w:val="both"/>
        <w:outlineLvl w:val="1"/>
        <w:rPr>
          <w:rFonts w:ascii="Arial" w:hAnsi="Arial" w:cs="Arial"/>
          <w:b/>
          <w:color w:val="000000"/>
          <w:sz w:val="21"/>
          <w:szCs w:val="21"/>
          <w:lang w:eastAsia="de-DE"/>
        </w:rPr>
      </w:pPr>
      <w:r w:rsidRPr="009578C7">
        <w:rPr>
          <w:rFonts w:ascii="Arial" w:hAnsi="Arial" w:cs="Arial"/>
          <w:b/>
          <w:color w:val="000000"/>
          <w:sz w:val="21"/>
          <w:szCs w:val="21"/>
          <w:lang w:eastAsia="de-DE"/>
        </w:rPr>
        <w:t>Visite libere</w:t>
      </w:r>
    </w:p>
    <w:p w:rsidR="001A0256" w:rsidRPr="009578C7" w:rsidRDefault="001A0256" w:rsidP="001A0256">
      <w:pPr>
        <w:pStyle w:val="Paragrafoelenco"/>
        <w:rPr>
          <w:rFonts w:ascii="Arial" w:hAnsi="Arial" w:cs="Arial"/>
          <w:b/>
          <w:color w:val="000000"/>
          <w:sz w:val="21"/>
          <w:szCs w:val="21"/>
          <w:lang w:val="de-DE" w:eastAsia="de-DE"/>
        </w:rPr>
      </w:pPr>
    </w:p>
    <w:p w:rsidR="001A0256" w:rsidRPr="009578C7" w:rsidRDefault="001A0256" w:rsidP="001A0256">
      <w:pPr>
        <w:pStyle w:val="Paragrafoelenco"/>
        <w:numPr>
          <w:ilvl w:val="0"/>
          <w:numId w:val="1"/>
        </w:numPr>
        <w:tabs>
          <w:tab w:val="left" w:pos="357"/>
        </w:tabs>
        <w:spacing w:after="0"/>
        <w:ind w:left="357" w:hanging="357"/>
        <w:jc w:val="both"/>
        <w:outlineLvl w:val="1"/>
        <w:rPr>
          <w:rFonts w:ascii="Arial" w:hAnsi="Arial" w:cs="Arial"/>
          <w:b/>
          <w:color w:val="000000"/>
          <w:sz w:val="21"/>
          <w:szCs w:val="21"/>
          <w:lang w:eastAsia="de-DE"/>
        </w:rPr>
      </w:pPr>
      <w:r w:rsidRPr="009578C7">
        <w:rPr>
          <w:rFonts w:ascii="Arial" w:hAnsi="Arial" w:cs="Arial"/>
          <w:b/>
          <w:color w:val="000000"/>
          <w:sz w:val="21"/>
          <w:szCs w:val="21"/>
          <w:lang w:eastAsia="de-DE"/>
        </w:rPr>
        <w:t>Filmati a ripetizione sui “</w:t>
      </w:r>
      <w:r w:rsidRPr="009578C7">
        <w:rPr>
          <w:rFonts w:ascii="Arial" w:hAnsi="Arial" w:cs="Arial"/>
          <w:b/>
          <w:i/>
          <w:color w:val="000000"/>
          <w:sz w:val="21"/>
          <w:szCs w:val="21"/>
          <w:lang w:eastAsia="de-DE"/>
        </w:rPr>
        <w:t>200 anni del catasto</w:t>
      </w:r>
      <w:r w:rsidRPr="009578C7">
        <w:rPr>
          <w:rFonts w:ascii="Arial" w:hAnsi="Arial" w:cs="Arial"/>
          <w:b/>
          <w:color w:val="000000"/>
          <w:sz w:val="21"/>
          <w:szCs w:val="21"/>
          <w:lang w:eastAsia="de-DE"/>
        </w:rPr>
        <w:t>” e sull’”</w:t>
      </w:r>
      <w:r w:rsidRPr="009578C7">
        <w:rPr>
          <w:rFonts w:ascii="Arial" w:hAnsi="Arial" w:cs="Arial"/>
          <w:b/>
          <w:i/>
          <w:color w:val="000000"/>
          <w:sz w:val="21"/>
          <w:szCs w:val="21"/>
          <w:lang w:eastAsia="de-DE"/>
        </w:rPr>
        <w:t>Esposizione storica del Libro fondiario e Catasto</w:t>
      </w:r>
      <w:r w:rsidRPr="009578C7">
        <w:rPr>
          <w:rFonts w:ascii="Arial" w:hAnsi="Arial" w:cs="Arial"/>
          <w:b/>
          <w:color w:val="000000"/>
          <w:sz w:val="21"/>
          <w:szCs w:val="21"/>
          <w:lang w:eastAsia="de-DE"/>
        </w:rPr>
        <w:t>” di Trento</w:t>
      </w:r>
    </w:p>
    <w:p w:rsidR="001A0256" w:rsidRPr="009578C7" w:rsidRDefault="001A0256" w:rsidP="001A0256">
      <w:pPr>
        <w:pStyle w:val="Paragrafoelenco"/>
        <w:rPr>
          <w:rFonts w:ascii="Arial" w:hAnsi="Arial" w:cs="Arial"/>
          <w:b/>
          <w:color w:val="000000"/>
          <w:sz w:val="21"/>
          <w:szCs w:val="21"/>
          <w:lang w:eastAsia="de-DE"/>
        </w:rPr>
      </w:pPr>
    </w:p>
    <w:p w:rsidR="001A0256" w:rsidRPr="009578C7" w:rsidRDefault="001A0256" w:rsidP="001A0256">
      <w:pPr>
        <w:pStyle w:val="Paragrafoelenco"/>
        <w:numPr>
          <w:ilvl w:val="0"/>
          <w:numId w:val="1"/>
        </w:numPr>
        <w:tabs>
          <w:tab w:val="left" w:pos="357"/>
        </w:tabs>
        <w:spacing w:after="0"/>
        <w:ind w:left="357" w:hanging="357"/>
        <w:jc w:val="both"/>
        <w:outlineLvl w:val="1"/>
        <w:rPr>
          <w:rFonts w:ascii="Arial" w:hAnsi="Arial" w:cs="Arial"/>
          <w:b/>
          <w:color w:val="000000"/>
          <w:sz w:val="21"/>
          <w:szCs w:val="21"/>
          <w:lang w:eastAsia="de-DE"/>
        </w:rPr>
      </w:pPr>
      <w:r w:rsidRPr="009578C7">
        <w:rPr>
          <w:rFonts w:ascii="Arial" w:hAnsi="Arial" w:cs="Arial"/>
          <w:b/>
          <w:color w:val="000000"/>
          <w:sz w:val="21"/>
          <w:szCs w:val="21"/>
          <w:lang w:eastAsia="de-DE"/>
        </w:rPr>
        <w:t>Quiz a premi sui contenuti della mostra</w:t>
      </w:r>
    </w:p>
    <w:p w:rsidR="001A0256" w:rsidRPr="009578C7" w:rsidRDefault="001A0256" w:rsidP="001A0256">
      <w:pPr>
        <w:tabs>
          <w:tab w:val="left" w:pos="1503"/>
        </w:tabs>
        <w:spacing w:after="150"/>
        <w:jc w:val="both"/>
        <w:outlineLvl w:val="1"/>
        <w:rPr>
          <w:rFonts w:ascii="Arial" w:hAnsi="Arial" w:cs="Arial"/>
          <w:b/>
          <w:color w:val="000000"/>
          <w:sz w:val="21"/>
          <w:szCs w:val="21"/>
          <w:lang w:val="it-IT" w:eastAsia="de-DE"/>
        </w:rPr>
      </w:pPr>
      <w:r w:rsidRPr="00D07669">
        <w:rPr>
          <w:rFonts w:ascii="Arial" w:hAnsi="Arial" w:cs="Arial"/>
          <w:b/>
          <w:noProof/>
          <w:color w:val="000000"/>
          <w:sz w:val="21"/>
          <w:szCs w:val="21"/>
          <w:lang w:val="it-IT" w:eastAsia="de-DE"/>
        </w:rPr>
        <w:drawing>
          <wp:anchor distT="0" distB="0" distL="114300" distR="114300" simplePos="0" relativeHeight="251659264" behindDoc="0" locked="0" layoutInCell="1" allowOverlap="1" wp14:anchorId="37DB79DD" wp14:editId="79DEEBD9">
            <wp:simplePos x="0" y="0"/>
            <wp:positionH relativeFrom="page">
              <wp:posOffset>1141095</wp:posOffset>
            </wp:positionH>
            <wp:positionV relativeFrom="paragraph">
              <wp:posOffset>0</wp:posOffset>
            </wp:positionV>
            <wp:extent cx="3552825" cy="2394398"/>
            <wp:effectExtent l="0" t="0" r="0" b="6350"/>
            <wp:wrapNone/>
            <wp:docPr id="4" name="Immagine 6">
              <a:extLst xmlns:a="http://schemas.openxmlformats.org/drawingml/2006/main">
                <a:ext uri="{FF2B5EF4-FFF2-40B4-BE49-F238E27FC236}">
                  <a16:creationId xmlns:a16="http://schemas.microsoft.com/office/drawing/2014/main" id="{BE73B692-9EDC-4E00-9823-7E30E1E493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6">
                      <a:extLst>
                        <a:ext uri="{FF2B5EF4-FFF2-40B4-BE49-F238E27FC236}">
                          <a16:creationId xmlns:a16="http://schemas.microsoft.com/office/drawing/2014/main" id="{BE73B692-9EDC-4E00-9823-7E30E1E4931E}"/>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52825" cy="239439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D07669">
        <w:rPr>
          <w:rFonts w:ascii="Arial" w:hAnsi="Arial" w:cs="Arial"/>
          <w:b/>
          <w:noProof/>
          <w:color w:val="000000"/>
          <w:sz w:val="21"/>
          <w:szCs w:val="21"/>
          <w:lang w:val="it-IT" w:eastAsia="de-DE"/>
        </w:rPr>
        <w:drawing>
          <wp:anchor distT="0" distB="0" distL="114300" distR="114300" simplePos="0" relativeHeight="251660288" behindDoc="0" locked="0" layoutInCell="1" allowOverlap="1" wp14:anchorId="780AD87E" wp14:editId="532052EF">
            <wp:simplePos x="0" y="0"/>
            <wp:positionH relativeFrom="margin">
              <wp:posOffset>1905635</wp:posOffset>
            </wp:positionH>
            <wp:positionV relativeFrom="paragraph">
              <wp:posOffset>767080</wp:posOffset>
            </wp:positionV>
            <wp:extent cx="3528582" cy="1984454"/>
            <wp:effectExtent l="133350" t="285750" r="129540" b="282575"/>
            <wp:wrapNone/>
            <wp:docPr id="5" name="Immagine 2" descr="Immagine che contiene testo&#10;&#10;Descrizione generata con affidabilità molto elevata">
              <a:extLst xmlns:a="http://schemas.openxmlformats.org/drawingml/2006/main">
                <a:ext uri="{FF2B5EF4-FFF2-40B4-BE49-F238E27FC236}">
                  <a16:creationId xmlns:a16="http://schemas.microsoft.com/office/drawing/2014/main" id="{6C3879E8-1EB4-43BD-96EB-88A9C64F9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Immagine che contiene testo&#10;&#10;Descrizione generata con affidabilità molto elevata">
                      <a:extLst>
                        <a:ext uri="{FF2B5EF4-FFF2-40B4-BE49-F238E27FC236}">
                          <a16:creationId xmlns:a16="http://schemas.microsoft.com/office/drawing/2014/main" id="{6C3879E8-1EB4-43BD-96EB-88A9C64F97E3}"/>
                        </a:ext>
                      </a:extLst>
                    </pic:cNvPr>
                    <pic:cNvPicPr>
                      <a:picLocks noChangeAspect="1"/>
                    </pic:cNvPicPr>
                  </pic:nvPicPr>
                  <pic:blipFill rotWithShape="1">
                    <a:blip r:embed="rId6" cstate="print">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t="4804" b="5911"/>
                    <a:stretch/>
                  </pic:blipFill>
                  <pic:spPr>
                    <a:xfrm rot="21031517">
                      <a:off x="0" y="0"/>
                      <a:ext cx="3533976" cy="1987487"/>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B3280" w:rsidRPr="001A0256" w:rsidRDefault="005B3280">
      <w:pPr>
        <w:rPr>
          <w:lang w:val="it-IT"/>
        </w:rPr>
      </w:pPr>
      <w:bookmarkStart w:id="0" w:name="_GoBack"/>
      <w:bookmarkEnd w:id="0"/>
    </w:p>
    <w:sectPr w:rsidR="005B3280" w:rsidRPr="001A0256" w:rsidSect="0025387E">
      <w:pgSz w:w="12240" w:h="15840"/>
      <w:pgMar w:top="851"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Segoe UI"/>
    <w:panose1 w:val="020B0606030504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581B6C"/>
    <w:multiLevelType w:val="hybridMultilevel"/>
    <w:tmpl w:val="DA629B2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256"/>
    <w:rsid w:val="001A0256"/>
    <w:rsid w:val="00215789"/>
    <w:rsid w:val="005B3280"/>
    <w:rsid w:val="008E20FA"/>
    <w:rsid w:val="00A05A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A9FA3-E2C4-4D2C-9C1A-BE3B629D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A0256"/>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0256"/>
    <w:pPr>
      <w:spacing w:after="160" w:line="259" w:lineRule="auto"/>
      <w:ind w:left="720"/>
      <w:contextualSpacing/>
    </w:pPr>
    <w:rPr>
      <w:rFonts w:asciiTheme="minorHAnsi" w:eastAsiaTheme="minorHAnsi" w:hAnsiTheme="minorHAnsi" w:cstheme="minorBid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D053E72F</Template>
  <TotalTime>0</TotalTime>
  <Pages>1</Pages>
  <Words>285</Words>
  <Characters>1634</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Amistadi, Silvana</dc:creator>
  <cp:keywords/>
  <dc:description/>
  <cp:lastModifiedBy>Amistadi, Silvana</cp:lastModifiedBy>
  <cp:revision>1</cp:revision>
  <dcterms:created xsi:type="dcterms:W3CDTF">2019-10-21T10:09:00Z</dcterms:created>
  <dcterms:modified xsi:type="dcterms:W3CDTF">2019-10-21T10:10:00Z</dcterms:modified>
</cp:coreProperties>
</file>